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Lines/>
        <w:spacing w:before="40" w:after="480"/>
      </w:pPr>
      <w:r>
        <w:drawing>
          <wp:inline xmlns:a="http://schemas.openxmlformats.org/drawingml/2006/main" xmlns:pic="http://schemas.openxmlformats.org/drawingml/2006/picture">
            <wp:extent cx="475488" cy="47548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qianqiao-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5488" cy="475488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Microsoft YaHei" w:hAnsi="Microsoft YaHei" w:eastAsia="Microsoft YaHei"/>
          <w:b/>
          <w:color w:val="17264C"/>
          <w:sz w:val="18"/>
        </w:rPr>
        <w:t xml:space="preserve">   乾桥禾融研究系列  |  上海乾桥禾融企业咨询有限公司</w:t>
      </w:r>
    </w:p>
    <w:p>
      <w:pPr>
        <w:spacing w:before="80" w:after="160"/>
      </w:pPr>
      <w:r>
        <w:rPr>
          <w:rFonts w:ascii="Microsoft YaHei" w:hAnsi="Microsoft YaHei" w:eastAsia="Microsoft YaHei"/>
          <w:b/>
          <w:color w:val="E9562B"/>
          <w:sz w:val="17"/>
        </w:rPr>
        <w:t>QIANQIAO INSIGHT   /   地区研究   /   2026</w:t>
      </w:r>
    </w:p>
    <w:p>
      <w:pPr>
        <w:keepNext/>
        <w:keepLines/>
        <w:spacing w:before="40" w:after="160" w:line="259" w:lineRule="auto"/>
      </w:pPr>
      <w:r>
        <w:rPr>
          <w:rFonts w:ascii="Microsoft YaHei" w:hAnsi="Microsoft YaHei" w:eastAsia="Microsoft YaHei"/>
          <w:b/>
          <w:color w:val="17264C"/>
          <w:sz w:val="64"/>
        </w:rPr>
        <w:t>中国企业拉丁美洲投资白皮书</w:t>
      </w:r>
    </w:p>
    <w:p>
      <w:pPr>
        <w:keepNext/>
        <w:spacing w:after="220"/>
        <w:pBdr>
          <w:bottom w:val="single" w:sz="20" w:space="8" w:color="E9562B"/>
        </w:pBdr>
      </w:pPr>
      <w:r>
        <w:rPr>
          <w:rFonts w:ascii="Microsoft YaHei" w:hAnsi="Microsoft YaHei" w:eastAsia="Microsoft YaHei"/>
          <w:b w:val="0"/>
          <w:color w:val="A86B4F"/>
          <w:sz w:val="28"/>
        </w:rPr>
        <w:t>围绕资源、消费市场与本地产业链配置资本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94"/>
      </w:tblGrid>
      <w:tr>
        <w:tc>
          <w:tcPr>
            <w:tcW w:type="dxa" w:w="9994"/>
            <w:shd w:fill="F3F5F8"/>
            <w:tcMar>
              <w:top w:w="190" w:type="dxa"/>
              <w:start w:w="220" w:type="dxa"/>
              <w:bottom w:w="190" w:type="dxa"/>
              <w:end w:w="220" w:type="dxa"/>
            </w:tcMar>
          </w:tcPr>
          <w:p>
            <w:pPr>
              <w:spacing w:after="100"/>
            </w:pPr>
            <w:r/>
            <w:r>
              <w:rPr>
                <w:rFonts w:ascii="Microsoft YaHei" w:hAnsi="Microsoft YaHei" w:eastAsia="Microsoft YaHei"/>
                <w:b/>
                <w:color w:val="E9562B"/>
                <w:sz w:val="18"/>
              </w:rPr>
              <w:t>研究要点</w:t>
            </w:r>
          </w:p>
          <w:p>
            <w:pPr>
              <w:spacing w:after="0" w:line="295" w:lineRule="auto"/>
            </w:pPr>
            <w:r>
              <w:rPr>
                <w:rFonts w:ascii="Microsoft YaHei" w:hAnsi="Microsoft YaHei" w:eastAsia="Microsoft YaHei"/>
                <w:b w:val="0"/>
                <w:color w:val="292B30"/>
                <w:sz w:val="21"/>
              </w:rPr>
              <w:t>拉丁美洲兼具资源禀赋、消费市场和能源转型需求，投资机会横跨矿产、汽车、能源、物流、消费和数字服务。区域内税制、汇率、政治周期、贸易安排和语言环境差异大，企业应以单国项目为基本单元，谨慎处理区域平台与实际经营地的边界。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31"/>
        <w:gridCol w:w="3331"/>
        <w:gridCol w:w="3331"/>
      </w:tblGrid>
      <w:tr>
        <w:tc>
          <w:tcPr>
            <w:tcW w:type="dxa" w:w="2995"/>
            <w:shd w:fill="F3F5F8"/>
            <w:tcMar>
              <w:top w:w="180" w:type="dxa"/>
              <w:start w:w="150" w:type="dxa"/>
              <w:bottom w:w="180" w:type="dxa"/>
              <w:end w:w="150" w:type="dxa"/>
            </w:tcMar>
          </w:tcPr>
          <w:p>
            <w:pPr>
              <w:spacing w:after="60"/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17264C"/>
                <w:sz w:val="30"/>
              </w:rPr>
              <w:t>155.6亿美元</w:t>
            </w:r>
          </w:p>
          <w:p>
            <w:pPr>
              <w:spacing w:after="40"/>
              <w:jc w:val="center"/>
            </w:pPr>
            <w:r>
              <w:rPr>
                <w:rFonts w:ascii="Microsoft YaHei" w:hAnsi="Microsoft YaHei" w:eastAsia="Microsoft YaHei"/>
                <w:b/>
                <w:color w:val="292B30"/>
                <w:sz w:val="17"/>
              </w:rPr>
              <w:t>2024年中国对拉美投资</w:t>
            </w:r>
          </w:p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 w:val="0"/>
                <w:color w:val="69717E"/>
                <w:sz w:val="16"/>
              </w:rPr>
              <w:t>同比 +15.4%</w:t>
            </w:r>
          </w:p>
        </w:tc>
        <w:tc>
          <w:tcPr>
            <w:tcW w:type="dxa" w:w="2995"/>
            <w:shd w:fill="F3F5F8"/>
            <w:tcMar>
              <w:top w:w="180" w:type="dxa"/>
              <w:start w:w="150" w:type="dxa"/>
              <w:bottom w:w="180" w:type="dxa"/>
              <w:end w:w="150" w:type="dxa"/>
            </w:tcMar>
          </w:tcPr>
          <w:p>
            <w:pPr>
              <w:spacing w:after="60"/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17264C"/>
                <w:sz w:val="30"/>
              </w:rPr>
              <w:t>51亿美元</w:t>
            </w:r>
          </w:p>
          <w:p>
            <w:pPr>
              <w:spacing w:after="40"/>
              <w:jc w:val="center"/>
            </w:pPr>
            <w:r>
              <w:rPr>
                <w:rFonts w:ascii="Microsoft YaHei" w:hAnsi="Microsoft YaHei" w:eastAsia="Microsoft YaHei"/>
                <w:b/>
                <w:color w:val="292B30"/>
                <w:sz w:val="17"/>
              </w:rPr>
              <w:t>2025年中国企业对拉美并购公告额</w:t>
            </w:r>
          </w:p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 w:val="0"/>
                <w:color w:val="69717E"/>
                <w:sz w:val="16"/>
              </w:rPr>
              <w:t>EY口径，五年高位</w:t>
            </w:r>
          </w:p>
        </w:tc>
        <w:tc>
          <w:tcPr>
            <w:tcW w:type="dxa" w:w="2995"/>
            <w:shd w:fill="F3F5F8"/>
            <w:tcMar>
              <w:top w:w="180" w:type="dxa"/>
              <w:start w:w="150" w:type="dxa"/>
              <w:bottom w:w="180" w:type="dxa"/>
              <w:end w:w="150" w:type="dxa"/>
            </w:tcMar>
          </w:tcPr>
          <w:p>
            <w:pPr>
              <w:spacing w:after="60"/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17264C"/>
                <w:sz w:val="30"/>
              </w:rPr>
              <w:t>2025年</w:t>
            </w:r>
          </w:p>
          <w:p>
            <w:pPr>
              <w:spacing w:after="40"/>
              <w:jc w:val="center"/>
            </w:pPr>
            <w:r>
              <w:rPr>
                <w:rFonts w:ascii="Microsoft YaHei" w:hAnsi="Microsoft YaHei" w:eastAsia="Microsoft YaHei"/>
                <w:b/>
                <w:color w:val="292B30"/>
                <w:sz w:val="17"/>
              </w:rPr>
              <w:t>BYD巴西工厂首款本地生产纯电车型下线</w:t>
            </w:r>
          </w:p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 w:val="0"/>
                <w:color w:val="69717E"/>
                <w:sz w:val="16"/>
              </w:rPr>
              <w:t>产业本地化案例</w:t>
            </w:r>
          </w:p>
        </w:tc>
      </w:tr>
    </w:tbl>
    <w:p>
      <w:pPr>
        <w:spacing w:after="0"/>
      </w:pPr>
    </w:p>
    <w:p>
      <w:pPr>
        <w:spacing w:before="180" w:after="60"/>
      </w:pPr>
      <w:r>
        <w:rPr>
          <w:rFonts w:ascii="Microsoft YaHei" w:hAnsi="Microsoft YaHei" w:eastAsia="Microsoft YaHei"/>
          <w:b w:val="0"/>
          <w:color w:val="69717E"/>
          <w:sz w:val="17"/>
        </w:rPr>
        <w:t>研究对象  /  中国企业境外直接投资及相关产业项目</w:t>
      </w:r>
    </w:p>
    <w:p>
      <w:r>
        <w:rPr>
          <w:rFonts w:ascii="Microsoft YaHei" w:hAnsi="Microsoft YaHei" w:eastAsia="Microsoft YaHei"/>
          <w:b w:val="0"/>
          <w:color w:val="69717E"/>
          <w:sz w:val="17"/>
        </w:rPr>
        <w:t>数据截点：截至 2026年10月22日 可查的公开资料；2025 年年度 ODI 采用三部门统计公报最终口径，较早发布的初步统计单独标注。</w:t>
      </w:r>
    </w:p>
    <w:p>
      <w:pPr>
        <w:pStyle w:val="Heading1"/>
        <w:keepNext/>
        <w:pageBreakBefore/>
      </w:pPr>
      <w:r>
        <w:rPr>
          <w:rFonts w:ascii="Microsoft YaHei" w:hAnsi="Microsoft YaHei" w:eastAsia="Microsoft YaHei"/>
          <w:b/>
          <w:color w:val="17264C"/>
          <w:sz w:val="34"/>
        </w:rPr>
        <w:t>一  核心判断与投资脉络</w:t>
      </w:r>
    </w:p>
    <w:p>
      <w:pPr>
        <w:pStyle w:val="ListBullet"/>
        <w:spacing w:after="80" w:line="283" w:lineRule="auto"/>
        <w:ind w:left="346" w:hanging="202"/>
      </w:pPr>
      <w:r>
        <w:rPr>
          <w:rFonts w:ascii="Microsoft YaHei" w:hAnsi="Microsoft YaHei" w:eastAsia="Microsoft YaHei"/>
          <w:b w:val="0"/>
          <w:color w:val="292B30"/>
          <w:sz w:val="19"/>
        </w:rPr>
        <w:t>2024年中国对拉美 ODI 为155.6亿美元，同比增长15.4%，占当年中国 ODI 流量8.1%。</w:t>
      </w:r>
    </w:p>
    <w:p>
      <w:pPr>
        <w:pStyle w:val="ListBullet"/>
        <w:spacing w:after="80" w:line="283" w:lineRule="auto"/>
        <w:ind w:left="346" w:hanging="202"/>
      </w:pPr>
      <w:r>
        <w:rPr>
          <w:rFonts w:ascii="Microsoft YaHei" w:hAnsi="Microsoft YaHei" w:eastAsia="Microsoft YaHei"/>
          <w:b w:val="0"/>
          <w:color w:val="292B30"/>
          <w:sz w:val="19"/>
        </w:rPr>
        <w:t>EY的交易数据库显示2025年中国企业对拉美并购公告额约51亿美元，占海外并购金额约12%，达到五年高位；这是公告交易口径。</w:t>
      </w:r>
    </w:p>
    <w:p>
      <w:pPr>
        <w:pStyle w:val="ListBullet"/>
        <w:spacing w:after="80" w:line="283" w:lineRule="auto"/>
        <w:ind w:left="346" w:hanging="202"/>
      </w:pPr>
      <w:r>
        <w:rPr>
          <w:rFonts w:ascii="Microsoft YaHei" w:hAnsi="Microsoft YaHei" w:eastAsia="Microsoft YaHei"/>
          <w:b w:val="0"/>
          <w:color w:val="292B30"/>
          <w:sz w:val="19"/>
        </w:rPr>
        <w:t>BYD于2025年在巴西工厂实现首款本地生产电动车下线，反映汽车市场从整车出口转向本地生产、就业和供应商协作。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94"/>
      </w:tblGrid>
      <w:tr>
        <w:tc>
          <w:tcPr>
            <w:tcW w:type="dxa" w:w="9994"/>
            <w:shd w:fill="FFF2EC"/>
            <w:tcMar>
              <w:top w:w="160" w:type="dxa"/>
              <w:start w:w="200" w:type="dxa"/>
              <w:bottom w:w="160" w:type="dxa"/>
              <w:end w:w="200" w:type="dxa"/>
            </w:tcMar>
          </w:tcPr>
          <w:p>
            <w:pPr>
              <w:spacing w:after="60"/>
            </w:pPr>
            <w:r/>
            <w:r>
              <w:rPr>
                <w:rFonts w:ascii="Microsoft YaHei" w:hAnsi="Microsoft YaHei" w:eastAsia="Microsoft YaHei"/>
                <w:b/>
                <w:color w:val="E9562B"/>
                <w:sz w:val="18"/>
              </w:rPr>
              <w:t>阅读提示</w:t>
            </w:r>
          </w:p>
          <w:p>
            <w:pPr>
              <w:spacing w:after="0" w:line="288" w:lineRule="auto"/>
            </w:pPr>
            <w:r>
              <w:rPr>
                <w:rFonts w:ascii="Microsoft YaHei" w:hAnsi="Microsoft YaHei" w:eastAsia="Microsoft YaHei"/>
                <w:b w:val="0"/>
                <w:color w:val="292B30"/>
                <w:sz w:val="20"/>
              </w:rPr>
              <w:t>本报告把官方 ODI 流量、并购公告、项目投资承诺和企业调查分开使用；公告计划额不等于已投入资本，东道国接收全球 FDI 也不等于中国来源 ODI。</w:t>
            </w:r>
          </w:p>
        </w:tc>
      </w:tr>
    </w:tbl>
    <w:p>
      <w:pPr>
        <w:pStyle w:val="Heading1"/>
        <w:keepNext/>
      </w:pPr>
      <w:r>
        <w:rPr>
          <w:rFonts w:ascii="Microsoft YaHei" w:hAnsi="Microsoft YaHei" w:eastAsia="Microsoft YaHei"/>
          <w:b/>
          <w:color w:val="17264C"/>
          <w:sz w:val="34"/>
        </w:rPr>
        <w:t>二  规模、结构与数据口径</w:t>
      </w:r>
    </w:p>
    <w:p>
      <w:pPr>
        <w:spacing w:after="140" w:line="307" w:lineRule="auto"/>
        <w:ind w:firstLine="403"/>
      </w:pPr>
      <w:r>
        <w:rPr>
          <w:rFonts w:ascii="Microsoft YaHei" w:hAnsi="Microsoft YaHei" w:eastAsia="Microsoft YaHei"/>
          <w:b w:val="0"/>
          <w:color w:val="292B30"/>
          <w:sz w:val="20"/>
        </w:rPr>
        <w:t>2024年官方统计流量为155.6亿美元，同比增长15.4%。EY依据交易公告追踪的2025年海外并购中，拉美交易金额约51亿美元、占比约12%，达到五年高位。地区 ODI 流量与并购公告金额口径不同；加勒比金融中心、区域控股实体和最终运营地之间也可能存在归属差异，阅读地区数据时应避免把注册地等同于实际项目目的地。</w:t>
      </w:r>
    </w:p>
    <w:p>
      <w:pPr>
        <w:spacing w:after="140" w:line="307" w:lineRule="auto"/>
        <w:ind w:firstLine="403"/>
      </w:pPr>
      <w:r>
        <w:rPr>
          <w:rFonts w:ascii="Microsoft YaHei" w:hAnsi="Microsoft YaHei" w:eastAsia="Microsoft YaHei"/>
          <w:b w:val="0"/>
          <w:color w:val="292B30"/>
          <w:sz w:val="20"/>
        </w:rPr>
        <w:t>PwC援引商务部数据，2024年对拉美ODI为155.6亿美元，同比增长15.4%，存量5677.1亿美元；墨西哥、秘鲁、巴西、巴拿马等国流量波动显著。EY跟踪的2025年海外并购公告额约51亿美元，达到近五年高位；非洲/拉美统计与公告交易口径分开分析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331"/>
        <w:gridCol w:w="3331"/>
        <w:gridCol w:w="3331"/>
      </w:tblGrid>
      <w:tr>
        <w:trPr>
          <w:tblHeader w:val="true"/>
        </w:trPr>
        <w:tc>
          <w:tcPr>
            <w:tcW w:type="dxa" w:w="3331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2024年区域</w:t>
            </w:r>
          </w:p>
        </w:tc>
        <w:tc>
          <w:tcPr>
            <w:tcW w:type="dxa" w:w="3331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官方 ODI 流量（亿美元）</w:t>
            </w:r>
          </w:p>
        </w:tc>
        <w:tc>
          <w:tcPr>
            <w:tcW w:type="dxa" w:w="3331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同比</w:t>
            </w:r>
          </w:p>
        </w:tc>
      </w:tr>
      <w:tr>
        <w:tc>
          <w:tcPr>
            <w:tcW w:type="dxa" w:w="3331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亚洲</w:t>
            </w:r>
          </w:p>
        </w:tc>
        <w:tc>
          <w:tcPr>
            <w:tcW w:type="dxa" w:w="3331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1536.7</w:t>
            </w:r>
          </w:p>
        </w:tc>
        <w:tc>
          <w:tcPr>
            <w:tcW w:type="dxa" w:w="3331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+8.5%</w:t>
            </w:r>
          </w:p>
        </w:tc>
      </w:tr>
      <w:tr>
        <w:tc>
          <w:tcPr>
            <w:tcW w:type="dxa" w:w="3331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拉美</w:t>
            </w:r>
          </w:p>
        </w:tc>
        <w:tc>
          <w:tcPr>
            <w:tcW w:type="dxa" w:w="3331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155.6</w:t>
            </w:r>
          </w:p>
        </w:tc>
        <w:tc>
          <w:tcPr>
            <w:tcW w:type="dxa" w:w="3331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+15.4%</w:t>
            </w:r>
          </w:p>
        </w:tc>
      </w:tr>
      <w:tr>
        <w:tc>
          <w:tcPr>
            <w:tcW w:type="dxa" w:w="3331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欧洲</w:t>
            </w:r>
          </w:p>
        </w:tc>
        <w:tc>
          <w:tcPr>
            <w:tcW w:type="dxa" w:w="3331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124.9</w:t>
            </w:r>
          </w:p>
        </w:tc>
        <w:tc>
          <w:tcPr>
            <w:tcW w:type="dxa" w:w="3331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+25.3%</w:t>
            </w:r>
          </w:p>
        </w:tc>
      </w:tr>
      <w:tr>
        <w:tc>
          <w:tcPr>
            <w:tcW w:type="dxa" w:w="3331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北美</w:t>
            </w:r>
          </w:p>
        </w:tc>
        <w:tc>
          <w:tcPr>
            <w:tcW w:type="dxa" w:w="3331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60.2</w:t>
            </w:r>
          </w:p>
        </w:tc>
        <w:tc>
          <w:tcPr>
            <w:tcW w:type="dxa" w:w="3331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-22.6%</w:t>
            </w:r>
          </w:p>
        </w:tc>
      </w:tr>
      <w:tr>
        <w:tc>
          <w:tcPr>
            <w:tcW w:type="dxa" w:w="3331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非洲</w:t>
            </w:r>
          </w:p>
        </w:tc>
        <w:tc>
          <w:tcPr>
            <w:tcW w:type="dxa" w:w="3331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33.7</w:t>
            </w:r>
          </w:p>
        </w:tc>
        <w:tc>
          <w:tcPr>
            <w:tcW w:type="dxa" w:w="3331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-14.9%</w:t>
            </w:r>
          </w:p>
        </w:tc>
      </w:tr>
    </w:tbl>
    <w:p>
      <w:pPr>
        <w:spacing w:before="60"/>
      </w:pPr>
      <w:r>
        <w:rPr>
          <w:rFonts w:ascii="Microsoft YaHei" w:hAnsi="Microsoft YaHei" w:eastAsia="Microsoft YaHei"/>
          <w:b w:val="0"/>
          <w:color w:val="69717E"/>
          <w:sz w:val="16"/>
        </w:rPr>
        <w:t>图表口径：2024年度官方地区分项；2025年区域趋势以EY并购公告或商务部初步非金融类同比另列，不替代官方地区流量。</w:t>
      </w:r>
    </w:p>
    <w:p>
      <w:pPr>
        <w:pStyle w:val="Heading1"/>
        <w:keepNext/>
      </w:pPr>
      <w:r>
        <w:rPr>
          <w:rFonts w:ascii="Microsoft YaHei" w:hAnsi="Microsoft YaHei" w:eastAsia="Microsoft YaHei"/>
          <w:b/>
          <w:color w:val="17264C"/>
          <w:sz w:val="34"/>
        </w:rPr>
        <w:t>三  市场机会与进入方式</w:t>
      </w:r>
    </w:p>
    <w:p>
      <w:pPr>
        <w:spacing w:after="140" w:line="307" w:lineRule="auto"/>
        <w:ind w:firstLine="403"/>
      </w:pPr>
      <w:r>
        <w:rPr>
          <w:rFonts w:ascii="Microsoft YaHei" w:hAnsi="Microsoft YaHei" w:eastAsia="Microsoft YaHei"/>
          <w:b w:val="0"/>
          <w:color w:val="292B30"/>
          <w:sz w:val="20"/>
        </w:rPr>
        <w:t>巴西市场规模、产业基础和资源供给突出，汽车、电池、能源、矿业、农业科技和消费领域值得跟踪；当地劳动、税务、进口、合资和环境规则较复杂。</w:t>
      </w:r>
    </w:p>
    <w:p>
      <w:pPr>
        <w:spacing w:after="140" w:line="307" w:lineRule="auto"/>
        <w:ind w:firstLine="403"/>
      </w:pPr>
      <w:r>
        <w:rPr>
          <w:rFonts w:ascii="Microsoft YaHei" w:hAnsi="Microsoft YaHei" w:eastAsia="Microsoft YaHei"/>
          <w:b w:val="0"/>
          <w:color w:val="292B30"/>
          <w:sz w:val="20"/>
        </w:rPr>
        <w:t>墨西哥具有北美供应链和出口制造优势，但原产地、北美贸易安排、反规避审查、州级激励和劳工制度需要同步评估。</w:t>
      </w:r>
    </w:p>
    <w:p>
      <w:pPr>
        <w:spacing w:after="140" w:line="307" w:lineRule="auto"/>
        <w:ind w:firstLine="403"/>
      </w:pPr>
      <w:r>
        <w:rPr>
          <w:rFonts w:ascii="Microsoft YaHei" w:hAnsi="Microsoft YaHei" w:eastAsia="Microsoft YaHei"/>
          <w:b w:val="0"/>
          <w:color w:val="292B30"/>
          <w:sz w:val="20"/>
        </w:rPr>
        <w:t>智利、秘鲁、阿根廷等国的矿产、能源和农业机会与全球价格周期高度相关；矿权、社区协商、水资源、环境责任及汇率安排应纳入尽调。</w:t>
      </w:r>
    </w:p>
    <w:p>
      <w:pPr>
        <w:spacing w:after="140" w:line="307" w:lineRule="auto"/>
        <w:ind w:firstLine="403"/>
      </w:pPr>
      <w:r>
        <w:rPr>
          <w:rFonts w:ascii="Microsoft YaHei" w:hAnsi="Microsoft YaHei" w:eastAsia="Microsoft YaHei"/>
          <w:b w:val="0"/>
          <w:color w:val="292B30"/>
          <w:sz w:val="20"/>
        </w:rPr>
        <w:t>巴拿马、哥伦比亚等市场可支持物流、服务与区域销售布局；区域平台的管理和资金管理功能必须匹配真实人员、风险承担与服务活动。</w:t>
      </w:r>
    </w:p>
    <w:p>
      <w:pPr>
        <w:pStyle w:val="Heading1"/>
        <w:keepNext/>
      </w:pPr>
      <w:r>
        <w:rPr>
          <w:rFonts w:ascii="Microsoft YaHei" w:hAnsi="Microsoft YaHei" w:eastAsia="Microsoft YaHei"/>
          <w:b/>
          <w:color w:val="17264C"/>
          <w:sz w:val="34"/>
        </w:rPr>
        <w:t>市场准入、注册资本与园区政策比较</w:t>
      </w:r>
    </w:p>
    <w:p>
      <w:pPr>
        <w:spacing w:after="140" w:line="307" w:lineRule="auto"/>
        <w:ind w:firstLine="403"/>
      </w:pPr>
      <w:r>
        <w:rPr>
          <w:rFonts w:ascii="Microsoft YaHei" w:hAnsi="Microsoft YaHei" w:eastAsia="Microsoft YaHei"/>
          <w:b w:val="0"/>
          <w:color w:val="292B30"/>
          <w:sz w:val="20"/>
        </w:rPr>
        <w:t>下表按本地区代表市场比较外资准入、常见实体资本规则与园区/产业政策。对未设统一公司资本下限的市场，行业许可仍可能规定最低资本、持股比例、实缴期限或本地伙伴要求；激励只适用于经批准且满足持续经营、就业/投资等条件的项目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331"/>
        <w:gridCol w:w="3331"/>
        <w:gridCol w:w="3331"/>
      </w:tblGrid>
      <w:tr>
        <w:trPr>
          <w:tblHeader w:val="true"/>
        </w:trPr>
        <w:tc>
          <w:tcPr>
            <w:tcW w:type="dxa" w:w="3331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国家/地区（共5个）</w:t>
            </w:r>
          </w:p>
        </w:tc>
        <w:tc>
          <w:tcPr>
            <w:tcW w:type="dxa" w:w="3331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持股与资本规则（概要）</w:t>
            </w:r>
          </w:p>
        </w:tc>
        <w:tc>
          <w:tcPr>
            <w:tcW w:type="dxa" w:w="3331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园区与产业政策（概要）</w:t>
            </w:r>
          </w:p>
        </w:tc>
      </w:tr>
      <w:tr>
        <w:tc>
          <w:tcPr>
            <w:tcW w:type="dxa" w:w="3331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巴西</w:t>
            </w:r>
          </w:p>
        </w:tc>
        <w:tc>
          <w:tcPr>
            <w:tcW w:type="dxa" w:w="3331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有限责任公司通常无统一高额法定最低资本；金融、保险等监管行业另设要求。</w:t>
            </w:r>
          </w:p>
        </w:tc>
        <w:tc>
          <w:tcPr>
            <w:tcW w:type="dxa" w:w="3331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玛瑙斯自由贸易区激励要求 SUFRAMA 登记/项目核准，部分税费减免与工业流程及产品类别挂钩。</w:t>
            </w:r>
          </w:p>
        </w:tc>
      </w:tr>
      <w:tr>
        <w:tc>
          <w:tcPr>
            <w:tcW w:type="dxa" w:w="3331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智利</w:t>
            </w:r>
          </w:p>
        </w:tc>
        <w:tc>
          <w:tcPr>
            <w:tcW w:type="dxa" w:w="3331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一般公司资本由章程确定，行业受监管活动可能有最低资本、许可或本地代表要求。</w:t>
            </w:r>
          </w:p>
        </w:tc>
        <w:tc>
          <w:tcPr>
            <w:tcW w:type="dxa" w:w="3331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CORFO及区域计划支持创新、绿色能源和生产力项目，按年度项目规则申请。</w:t>
            </w:r>
          </w:p>
        </w:tc>
      </w:tr>
      <w:tr>
        <w:tc>
          <w:tcPr>
            <w:tcW w:type="dxa" w:w="3331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哥伦比亚</w:t>
            </w:r>
          </w:p>
        </w:tc>
        <w:tc>
          <w:tcPr>
            <w:tcW w:type="dxa" w:w="3331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SAS通常无普遍最低资本门槛；金融、采矿、能源等需行业许可或特许权。</w:t>
            </w:r>
          </w:p>
        </w:tc>
        <w:tc>
          <w:tcPr>
            <w:tcW w:type="dxa" w:w="3331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自由贸易区可提供税务/海关制度优势，须满足投资、就业、出口及经营实质条件。</w:t>
            </w:r>
          </w:p>
        </w:tc>
      </w:tr>
      <w:tr>
        <w:tc>
          <w:tcPr>
            <w:tcW w:type="dxa" w:w="3331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阿根廷</w:t>
            </w:r>
          </w:p>
        </w:tc>
        <w:tc>
          <w:tcPr>
            <w:tcW w:type="dxa" w:w="3331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SA与SRL资本及缴付受公司类型规则约束；受监管行业另设资本充足要求。</w:t>
            </w:r>
          </w:p>
        </w:tc>
        <w:tc>
          <w:tcPr>
            <w:tcW w:type="dxa" w:w="3331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投资激励按行业与项目制度分别适用；需核查稳定性制度门槛、外汇和进口规则。</w:t>
            </w:r>
          </w:p>
        </w:tc>
      </w:tr>
      <w:tr>
        <w:tc>
          <w:tcPr>
            <w:tcW w:type="dxa" w:w="3331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秘鲁</w:t>
            </w:r>
          </w:p>
        </w:tc>
        <w:tc>
          <w:tcPr>
            <w:tcW w:type="dxa" w:w="3331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一般公司法无统一高额最低资本要求；矿业、金融、电信项目需行业授权。</w:t>
            </w:r>
          </w:p>
        </w:tc>
        <w:tc>
          <w:tcPr>
            <w:tcW w:type="dxa" w:w="3331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经济特区/工业园优惠依运营区域和批准项目，须核实设施、出口和税务条件。</w:t>
            </w:r>
          </w:p>
        </w:tc>
      </w:tr>
    </w:tbl>
    <w:p>
      <w:pPr>
        <w:pStyle w:val="Heading1"/>
        <w:keepNext/>
      </w:pPr>
      <w:r>
        <w:rPr>
          <w:rFonts w:ascii="Microsoft YaHei" w:hAnsi="Microsoft YaHei" w:eastAsia="Microsoft YaHei"/>
          <w:b/>
          <w:color w:val="17264C"/>
          <w:sz w:val="34"/>
        </w:rPr>
        <w:t>四  代表性项目观察</w:t>
      </w:r>
    </w:p>
    <w:p>
      <w:pPr>
        <w:spacing w:after="140" w:line="307" w:lineRule="auto"/>
        <w:ind w:firstLine="403"/>
      </w:pPr>
      <w:r>
        <w:rPr>
          <w:rFonts w:ascii="Microsoft YaHei" w:hAnsi="Microsoft YaHei" w:eastAsia="Microsoft YaHei"/>
          <w:b w:val="0"/>
          <w:color w:val="292B30"/>
          <w:sz w:val="20"/>
        </w:rPr>
        <w:t>BYD披露巴西Camaçari工厂于2025年7月实现首款Dolphin Mini电动车下线。该项目说明本地组装、产能建设与市场深耕的关联；项目节点应区分试产、阶段性产出和全面达产。</w:t>
      </w:r>
    </w:p>
    <w:p>
      <w:pPr>
        <w:pStyle w:val="Heading2"/>
        <w:keepNext/>
      </w:pPr>
      <w:r>
        <w:rPr>
          <w:rFonts w:ascii="Microsoft YaHei" w:hAnsi="Microsoft YaHei" w:eastAsia="Microsoft YaHei"/>
          <w:b/>
          <w:color w:val="A86B4F"/>
          <w:sz w:val="24"/>
        </w:rPr>
        <w:t>代表项目观察</w:t>
      </w:r>
    </w:p>
    <w:p>
      <w:pPr>
        <w:spacing w:after="140" w:line="307" w:lineRule="auto"/>
        <w:ind w:firstLine="403"/>
      </w:pPr>
      <w:r>
        <w:rPr>
          <w:rFonts w:ascii="Microsoft YaHei" w:hAnsi="Microsoft YaHei" w:eastAsia="Microsoft YaHei"/>
          <w:b w:val="0"/>
          <w:color w:val="292B30"/>
          <w:sz w:val="20"/>
        </w:rPr>
        <w:t>以下项目区分股权投资、建设投资、许可合作与项目规划。金额均按企业或政府公开披露口径记录；未披露的明确标记，规划额不代表已投金额。项目状态以来源公布日期为准，重大交易需再核验最新进展。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98"/>
        <w:gridCol w:w="2498"/>
        <w:gridCol w:w="2498"/>
        <w:gridCol w:w="2498"/>
      </w:tblGrid>
      <w:tr>
        <w:trPr>
          <w:tblHeader w:val="true"/>
        </w:trPr>
        <w:tc>
          <w:tcPr>
            <w:tcW w:type="dxa" w:w="2498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项目与所在地</w:t>
            </w:r>
          </w:p>
        </w:tc>
        <w:tc>
          <w:tcPr>
            <w:tcW w:type="dxa" w:w="2498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投资方与产业环节</w:t>
            </w:r>
          </w:p>
        </w:tc>
        <w:tc>
          <w:tcPr>
            <w:tcW w:type="dxa" w:w="2498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公开金额与项目阶段</w:t>
            </w:r>
          </w:p>
        </w:tc>
        <w:tc>
          <w:tcPr>
            <w:tcW w:type="dxa" w:w="2498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可核验的投资观察</w:t>
            </w:r>
          </w:p>
        </w:tc>
      </w:tr>
      <w:tr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巴西巴伊亚州｜BYD卡马萨里乘用车厂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比亚迪；整车及电池供应链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BYD披露长期投资计划约R$5.5bn；2025年工厂首辆本地产车型下线。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首车下线是节点而非全面达产；核验后续车型、产能爬坡、供应链本地化及激励条件。</w:t>
            </w:r>
          </w:p>
        </w:tc>
      </w:tr>
      <w:tr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巴西圣保罗州｜长城汽车伊拉塞马波利斯工厂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长城汽车；整车制造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公司公开十年投资计划约R$10bn；工厂于2025年启动运营/生产安排。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区分多年承诺总额与当期实投；关注车型认证、零部件进口和本地采购。</w:t>
            </w:r>
          </w:p>
        </w:tc>
      </w:tr>
      <w:tr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墨西哥｜中资汽车/电子出口制造集群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中资整车和零部件供应商；出口制造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未有可归属于单一企业的统一集群投资总额；逐项目登记公司公告和投产状态。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把IMMEX资格、北美原产地、客户订单与工厂资本开支分开核验。</w:t>
            </w:r>
          </w:p>
        </w:tc>
      </w:tr>
    </w:tbl>
    <w:p>
      <w:pPr>
        <w:pStyle w:val="Heading1"/>
        <w:keepNext/>
      </w:pPr>
      <w:r>
        <w:rPr>
          <w:rFonts w:ascii="Microsoft YaHei" w:hAnsi="Microsoft YaHei" w:eastAsia="Microsoft YaHei"/>
          <w:b/>
          <w:color w:val="17264C"/>
          <w:sz w:val="34"/>
        </w:rPr>
        <w:t>五  重点合规与执行风险</w:t>
      </w:r>
    </w:p>
    <w:p>
      <w:pPr>
        <w:pStyle w:val="ListBullet"/>
        <w:spacing w:after="80" w:line="283" w:lineRule="auto"/>
        <w:ind w:left="346" w:hanging="202"/>
      </w:pPr>
      <w:r>
        <w:rPr>
          <w:rFonts w:ascii="Microsoft YaHei" w:hAnsi="Microsoft YaHei" w:eastAsia="Microsoft YaHei"/>
          <w:b w:val="0"/>
          <w:color w:val="292B30"/>
          <w:sz w:val="19"/>
        </w:rPr>
        <w:t>国家与地方政策：税制、关税、资本管制、外汇兑换、进口许可和投资激励都可能在不同政府周期中变化。</w:t>
      </w:r>
    </w:p>
    <w:p>
      <w:pPr>
        <w:pStyle w:val="ListBullet"/>
        <w:spacing w:after="80" w:line="283" w:lineRule="auto"/>
        <w:ind w:left="346" w:hanging="202"/>
      </w:pPr>
      <w:r>
        <w:rPr>
          <w:rFonts w:ascii="Microsoft YaHei" w:hAnsi="Microsoft YaHei" w:eastAsia="Microsoft YaHei"/>
          <w:b w:val="0"/>
          <w:color w:val="292B30"/>
          <w:sz w:val="19"/>
        </w:rPr>
        <w:t>资源项目：矿权、土地与社区权利、环保、水资源、特许权使用费、原住民协商和出口政策。</w:t>
      </w:r>
    </w:p>
    <w:p>
      <w:pPr>
        <w:pStyle w:val="ListBullet"/>
        <w:spacing w:after="80" w:line="283" w:lineRule="auto"/>
        <w:ind w:left="346" w:hanging="202"/>
      </w:pPr>
      <w:r>
        <w:rPr>
          <w:rFonts w:ascii="Microsoft YaHei" w:hAnsi="Microsoft YaHei" w:eastAsia="Microsoft YaHei"/>
          <w:b w:val="0"/>
          <w:color w:val="292B30"/>
          <w:sz w:val="19"/>
        </w:rPr>
        <w:t>市场准入：产品认证、原产地规则、反倾销/反补贴、当地含量和北美供应链规则。</w:t>
      </w:r>
    </w:p>
    <w:p>
      <w:pPr>
        <w:pStyle w:val="ListBullet"/>
        <w:spacing w:after="80" w:line="283" w:lineRule="auto"/>
        <w:ind w:left="346" w:hanging="202"/>
      </w:pPr>
      <w:r>
        <w:rPr>
          <w:rFonts w:ascii="Microsoft YaHei" w:hAnsi="Microsoft YaHei" w:eastAsia="Microsoft YaHei"/>
          <w:b w:val="0"/>
          <w:color w:val="292B30"/>
          <w:sz w:val="19"/>
        </w:rPr>
        <w:t>财务控制：高通胀或货币波动环境下的账务币种、资金回流、关联贷款、税务申报和审计底稿。</w:t>
      </w:r>
    </w:p>
    <w:p>
      <w:pPr>
        <w:pStyle w:val="Heading1"/>
        <w:keepNext/>
      </w:pPr>
      <w:r>
        <w:rPr>
          <w:rFonts w:ascii="Microsoft YaHei" w:hAnsi="Microsoft YaHei" w:eastAsia="Microsoft YaHei"/>
          <w:b/>
          <w:color w:val="17264C"/>
          <w:sz w:val="34"/>
        </w:rPr>
        <w:t>六  投资启示</w:t>
      </w:r>
    </w:p>
    <w:p>
      <w:pPr>
        <w:pStyle w:val="ListBullet"/>
        <w:spacing w:after="80" w:line="283" w:lineRule="auto"/>
        <w:ind w:left="346" w:hanging="202"/>
      </w:pPr>
      <w:r>
        <w:rPr>
          <w:rFonts w:ascii="Microsoft YaHei" w:hAnsi="Microsoft YaHei" w:eastAsia="Microsoft YaHei"/>
          <w:b w:val="0"/>
          <w:color w:val="292B30"/>
          <w:sz w:val="19"/>
        </w:rPr>
        <w:t>先按目标客户、供应链、物流、人才、电力/水资源与政策资格设定筛选权重，再在拉丁美洲代表市场中做同口径比较；园区税惠不能抵消低利用率或物流瓶颈。</w:t>
      </w:r>
    </w:p>
    <w:p>
      <w:pPr>
        <w:pStyle w:val="ListBullet"/>
        <w:spacing w:after="80" w:line="283" w:lineRule="auto"/>
        <w:ind w:left="346" w:hanging="202"/>
      </w:pPr>
      <w:r>
        <w:rPr>
          <w:rFonts w:ascii="Microsoft YaHei" w:hAnsi="Microsoft YaHei" w:eastAsia="Microsoft YaHei"/>
          <w:b w:val="0"/>
          <w:color w:val="292B30"/>
          <w:sz w:val="19"/>
        </w:rPr>
        <w:t>将市场进入拆成销售/服务实体、区域总部、制造/资源项目和控股平台，分别核算资本需求、许可周期、现金流与退出成本。</w:t>
      </w:r>
    </w:p>
    <w:p>
      <w:pPr>
        <w:pStyle w:val="ListBullet"/>
        <w:spacing w:after="80" w:line="283" w:lineRule="auto"/>
        <w:ind w:left="346" w:hanging="202"/>
      </w:pPr>
      <w:r>
        <w:rPr>
          <w:rFonts w:ascii="Microsoft YaHei" w:hAnsi="Microsoft YaHei" w:eastAsia="Microsoft YaHei"/>
          <w:b w:val="0"/>
          <w:color w:val="292B30"/>
          <w:sz w:val="19"/>
        </w:rPr>
        <w:t>采用分阶段承诺：先验证客户订单、许可、土地/厂房、能源和关键供应商，再进入大额固定资产投资；把激励兑现和本地化承诺设为投后监控指标。</w:t>
      </w:r>
    </w:p>
    <w:p>
      <w:pPr>
        <w:pStyle w:val="ListBullet"/>
        <w:spacing w:after="80" w:line="283" w:lineRule="auto"/>
        <w:ind w:left="346" w:hanging="202"/>
      </w:pPr>
      <w:r>
        <w:rPr>
          <w:rFonts w:ascii="Microsoft YaHei" w:hAnsi="Microsoft YaHei" w:eastAsia="Microsoft YaHei"/>
          <w:b w:val="0"/>
          <w:color w:val="292B30"/>
          <w:sz w:val="19"/>
        </w:rPr>
        <w:t>董事会立项时同步批准 ODI 申报路径、股权/债务比例、资本金时间表、境外开户及税务/会计治理，确保批准金额与最终交易、资金流和项目用途相互匹配。</w:t>
      </w:r>
    </w:p>
    <w:p>
      <w:pPr>
        <w:pStyle w:val="Heading1"/>
        <w:keepNext/>
      </w:pPr>
      <w:r>
        <w:rPr>
          <w:rFonts w:ascii="Microsoft YaHei" w:hAnsi="Microsoft YaHei" w:eastAsia="Microsoft YaHei"/>
          <w:b/>
          <w:color w:val="17264C"/>
          <w:sz w:val="34"/>
        </w:rPr>
        <w:t>地区专题1  投资路径与项目结构</w:t>
      </w:r>
    </w:p>
    <w:p>
      <w:pPr>
        <w:spacing w:after="140" w:line="307" w:lineRule="auto"/>
        <w:ind w:firstLine="403"/>
      </w:pPr>
      <w:r>
        <w:rPr>
          <w:rFonts w:ascii="Microsoft YaHei" w:hAnsi="Microsoft YaHei" w:eastAsia="Microsoft YaHei"/>
          <w:b w:val="0"/>
          <w:color w:val="292B30"/>
          <w:sz w:val="20"/>
        </w:rPr>
        <w:t>拉美投资往往同时涉及联邦、州/省和市级规则，项目实际回报取决于税务、物流、外汇、基础设施和执行能力。应区分资源特许/矿权、制造实体、销售分销公司和区域服务平台。巴西市场规模大但州际税务、物流与合规复杂；智利、秘鲁等资源型市场更依赖矿权、环境许可与社区协商；哥伦比亚、阿根廷的政策和外汇情景则需单独压力测试。</w:t>
      </w:r>
    </w:p>
    <w:p>
      <w:pPr>
        <w:spacing w:after="140" w:line="307" w:lineRule="auto"/>
        <w:ind w:firstLine="403"/>
      </w:pPr>
      <w:r>
        <w:rPr>
          <w:rFonts w:ascii="Microsoft YaHei" w:hAnsi="Microsoft YaHei" w:eastAsia="Microsoft YaHei"/>
          <w:b w:val="0"/>
          <w:color w:val="292B30"/>
          <w:sz w:val="20"/>
        </w:rPr>
        <w:t>中国企业可采用全资新设、收购既有资产、合资或项目公司等路径。若项目高度依赖政府许可、土地权或本地渠道，尽调重点应包含许可可转让性、历史税务和劳工负债、社区协议、环境责任及股东关联交易。合资合同需要明确追加投资、审批责任、采购和承购安排，以及汇率/资本管制变化时的决策机制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97"/>
        <w:gridCol w:w="4997"/>
      </w:tblGrid>
      <w:tr>
        <w:trPr>
          <w:tblHeader w:val="true"/>
        </w:trPr>
        <w:tc>
          <w:tcPr>
            <w:tcW w:type="dxa" w:w="4997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专题决策清单</w:t>
            </w:r>
          </w:p>
        </w:tc>
        <w:tc>
          <w:tcPr>
            <w:tcW w:type="dxa" w:w="4997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建议形成的投委会材料</w:t>
            </w:r>
          </w:p>
        </w:tc>
      </w:tr>
      <w:tr>
        <w:tc>
          <w:tcPr>
            <w:tcW w:type="dxa" w:w="4997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实体与控制</w:t>
            </w:r>
          </w:p>
        </w:tc>
        <w:tc>
          <w:tcPr>
            <w:tcW w:type="dxa" w:w="4997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说明投资主体、最终受益人、当地董事/授权、业务范围和境内 ODI 备案/核准的一致性。</w:t>
            </w:r>
          </w:p>
        </w:tc>
      </w:tr>
      <w:tr>
        <w:tc>
          <w:tcPr>
            <w:tcW w:type="dxa" w:w="4997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资本与资金</w:t>
            </w:r>
          </w:p>
        </w:tc>
        <w:tc>
          <w:tcPr>
            <w:tcW w:type="dxa" w:w="4997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区分法定注册资本、最低实缴、项目资本开支和营运资金；写明股权/股东贷款比例、币种与拨付节点。</w:t>
            </w:r>
          </w:p>
        </w:tc>
      </w:tr>
      <w:tr>
        <w:tc>
          <w:tcPr>
            <w:tcW w:type="dxa" w:w="4997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合作与退出</w:t>
            </w:r>
          </w:p>
        </w:tc>
        <w:tc>
          <w:tcPr>
            <w:tcW w:type="dxa" w:w="4997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约定合资保留事项、追加出资、技术/采购、僵局、许可变更和退出机制。</w:t>
            </w:r>
          </w:p>
        </w:tc>
      </w:tr>
    </w:tbl>
    <w:p>
      <w:pPr>
        <w:pStyle w:val="Heading1"/>
        <w:keepNext/>
      </w:pPr>
      <w:r>
        <w:rPr>
          <w:rFonts w:ascii="Microsoft YaHei" w:hAnsi="Microsoft YaHei" w:eastAsia="Microsoft YaHei"/>
          <w:b/>
          <w:color w:val="17264C"/>
          <w:sz w:val="34"/>
        </w:rPr>
        <w:t>地区专题2  区域与园区选址方法</w:t>
      </w:r>
    </w:p>
    <w:p>
      <w:pPr>
        <w:spacing w:after="140" w:line="307" w:lineRule="auto"/>
        <w:ind w:firstLine="403"/>
      </w:pPr>
      <w:r>
        <w:rPr>
          <w:rFonts w:ascii="Microsoft YaHei" w:hAnsi="Microsoft YaHei" w:eastAsia="Microsoft YaHei"/>
          <w:b w:val="0"/>
          <w:color w:val="292B30"/>
          <w:sz w:val="20"/>
        </w:rPr>
        <w:t>按目标市场和供应链重新定义“区域中心”：巴西适合面向本地市场的大规模生产，智利/秘鲁偏向矿产与能源项目，墨西哥虽地理归属北美但常与拉美投资组合一起比较，应避免重复或误用政策口径。物流路径要考虑港口、内陆距离、边境等待、铁路公路条件及出口目的地。制造选址需核查电力质量、工业用水、治安、劳工技能和地方政府执行力。</w:t>
      </w:r>
    </w:p>
    <w:p>
      <w:pPr>
        <w:spacing w:after="140" w:line="307" w:lineRule="auto"/>
        <w:ind w:firstLine="403"/>
      </w:pPr>
      <w:r>
        <w:rPr>
          <w:rFonts w:ascii="Microsoft YaHei" w:hAnsi="Microsoft YaHei" w:eastAsia="Microsoft YaHei"/>
          <w:b w:val="0"/>
          <w:color w:val="292B30"/>
          <w:sz w:val="20"/>
        </w:rPr>
        <w:t>玛瑙斯自由贸易区和巴西其他园区优惠与 SUFRAMA 项目/登记及产品、工艺条件相关，不是仅凭租用园区土地即可享受。哥伦比亚自由贸易区、区域招商和能源项目激励也往往绑定投资额、就业、出口或本地运营。选址前应取得政策适用意见、地块权属、基础设施服务承诺和退出条款，并将优惠落空放入下行情景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97"/>
        <w:gridCol w:w="4997"/>
      </w:tblGrid>
      <w:tr>
        <w:trPr>
          <w:tblHeader w:val="true"/>
        </w:trPr>
        <w:tc>
          <w:tcPr>
            <w:tcW w:type="dxa" w:w="4997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专题决策清单</w:t>
            </w:r>
          </w:p>
        </w:tc>
        <w:tc>
          <w:tcPr>
            <w:tcW w:type="dxa" w:w="4997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建议形成的投委会材料</w:t>
            </w:r>
          </w:p>
        </w:tc>
      </w:tr>
      <w:tr>
        <w:tc>
          <w:tcPr>
            <w:tcW w:type="dxa" w:w="4997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地块与资格</w:t>
            </w:r>
          </w:p>
        </w:tc>
        <w:tc>
          <w:tcPr>
            <w:tcW w:type="dxa" w:w="4997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留存园区边界/地块权属、活动资格、正式批文、申请先后次序及不可逆支出的书面依据。</w:t>
            </w:r>
          </w:p>
        </w:tc>
      </w:tr>
      <w:tr>
        <w:tc>
          <w:tcPr>
            <w:tcW w:type="dxa" w:w="4997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配套与成本</w:t>
            </w:r>
          </w:p>
        </w:tc>
        <w:tc>
          <w:tcPr>
            <w:tcW w:type="dxa" w:w="4997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取得能源、水、物流、通关、环保处理和劳工服务的服务承诺，测算隐性收费和接入周期。</w:t>
            </w:r>
          </w:p>
        </w:tc>
      </w:tr>
      <w:tr>
        <w:tc>
          <w:tcPr>
            <w:tcW w:type="dxa" w:w="4997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激励与追回</w:t>
            </w:r>
          </w:p>
        </w:tc>
        <w:tc>
          <w:tcPr>
            <w:tcW w:type="dxa" w:w="4997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列清投资额/就业/本地化承诺、优惠期限、申报证据、年度报告及不达标追回责任。</w:t>
            </w:r>
          </w:p>
        </w:tc>
      </w:tr>
    </w:tbl>
    <w:p>
      <w:pPr>
        <w:pStyle w:val="Heading1"/>
        <w:keepNext/>
      </w:pPr>
      <w:r>
        <w:rPr>
          <w:rFonts w:ascii="Microsoft YaHei" w:hAnsi="Microsoft YaHei" w:eastAsia="Microsoft YaHei"/>
          <w:b/>
          <w:color w:val="17264C"/>
          <w:sz w:val="34"/>
        </w:rPr>
        <w:t>地区专题3  现金流、税务与外汇情景</w:t>
      </w:r>
    </w:p>
    <w:p>
      <w:pPr>
        <w:spacing w:after="140" w:line="307" w:lineRule="auto"/>
        <w:ind w:firstLine="403"/>
      </w:pPr>
      <w:r>
        <w:rPr>
          <w:rFonts w:ascii="Microsoft YaHei" w:hAnsi="Microsoft YaHei" w:eastAsia="Microsoft YaHei"/>
          <w:b w:val="0"/>
          <w:color w:val="292B30"/>
          <w:sz w:val="20"/>
        </w:rPr>
        <w:t>模型需覆盖高通胀/汇率波动、进口设备价格、融资利率、关税和税务变化、原料价格及应收账款周期。合同币种、收入币种与本地成本币种应分别识别；若存在资本汇出或外汇兑换限制，需模拟股息、服务费和股东贷款偿还的路径和时间。项目融资要明确本地现金储备、跨境担保、抵押执行和再融资条件。</w:t>
      </w:r>
    </w:p>
    <w:p>
      <w:pPr>
        <w:spacing w:after="140" w:line="307" w:lineRule="auto"/>
        <w:ind w:firstLine="403"/>
      </w:pPr>
      <w:r>
        <w:rPr>
          <w:rFonts w:ascii="Microsoft YaHei" w:hAnsi="Microsoft YaHei" w:eastAsia="Microsoft YaHei"/>
          <w:b w:val="0"/>
          <w:color w:val="292B30"/>
          <w:sz w:val="20"/>
        </w:rPr>
        <w:t>资源项目使用价格曲线、品位、回收率、运输、加工费、特许权使用费和环境修复费用进行压力测试；制造项目对比本地生产与进口成品的完整到岸成本。税收激励应逐项辨别已批准与拟申请状态，确认优惠期、投资承诺、审计材料、区域限制和政策稳定性。不能用单一年度优惠税率代替完整项目周期现金流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97"/>
        <w:gridCol w:w="4997"/>
      </w:tblGrid>
      <w:tr>
        <w:trPr>
          <w:tblHeader w:val="true"/>
        </w:trPr>
        <w:tc>
          <w:tcPr>
            <w:tcW w:type="dxa" w:w="4997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专题决策清单</w:t>
            </w:r>
          </w:p>
        </w:tc>
        <w:tc>
          <w:tcPr>
            <w:tcW w:type="dxa" w:w="4997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建议形成的投委会材料</w:t>
            </w:r>
          </w:p>
        </w:tc>
      </w:tr>
      <w:tr>
        <w:tc>
          <w:tcPr>
            <w:tcW w:type="dxa" w:w="4997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收入与成本</w:t>
            </w:r>
          </w:p>
        </w:tc>
        <w:tc>
          <w:tcPr>
            <w:tcW w:type="dxa" w:w="4997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用客户合同/承购、销量、利用率、物流、能源、人工和税费建立基准/下行两套模型。</w:t>
            </w:r>
          </w:p>
        </w:tc>
      </w:tr>
      <w:tr>
        <w:tc>
          <w:tcPr>
            <w:tcW w:type="dxa" w:w="4997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资金与汇率</w:t>
            </w:r>
          </w:p>
        </w:tc>
        <w:tc>
          <w:tcPr>
            <w:tcW w:type="dxa" w:w="4997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测算汇率、利率、资本管制、应收账款、库存及利润汇回对现金流的影响，设最低现金储备。</w:t>
            </w:r>
          </w:p>
        </w:tc>
      </w:tr>
      <w:tr>
        <w:tc>
          <w:tcPr>
            <w:tcW w:type="dxa" w:w="4997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阶段与回报</w:t>
            </w:r>
          </w:p>
        </w:tc>
        <w:tc>
          <w:tcPr>
            <w:tcW w:type="dxa" w:w="4997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分期释放资本，以许可、订单、建设、良率/产能利用率为闸门；量化暂停、扩产和退出阈值。</w:t>
            </w:r>
          </w:p>
        </w:tc>
      </w:tr>
    </w:tbl>
    <w:p>
      <w:pPr>
        <w:pStyle w:val="Heading1"/>
        <w:keepNext/>
      </w:pPr>
      <w:r>
        <w:rPr>
          <w:rFonts w:ascii="Microsoft YaHei" w:hAnsi="Microsoft YaHei" w:eastAsia="Microsoft YaHei"/>
          <w:b/>
          <w:color w:val="17264C"/>
          <w:sz w:val="34"/>
        </w:rPr>
        <w:t>地区专题4  社会许可与投后治理</w:t>
      </w:r>
    </w:p>
    <w:p>
      <w:pPr>
        <w:spacing w:after="140" w:line="307" w:lineRule="auto"/>
        <w:ind w:firstLine="403"/>
      </w:pPr>
      <w:r>
        <w:rPr>
          <w:rFonts w:ascii="Microsoft YaHei" w:hAnsi="Microsoft YaHei" w:eastAsia="Microsoft YaHei"/>
          <w:b w:val="0"/>
          <w:color w:val="292B30"/>
          <w:sz w:val="20"/>
        </w:rPr>
        <w:t>矿业、能源和大型工业项目需要在前期建立社区沟通、土地权利、劳工、安全、环境影响和申诉机制。当地法规最低要求之外，客户、融资机构和供应链标准可能要求更高。应把社区协商与环境许可作为进度关键路径，配置本地负责人、翻译和长期监测预算，避免项目因社会冲突导致停工、融资和声誉损失。</w:t>
      </w:r>
    </w:p>
    <w:p>
      <w:pPr>
        <w:spacing w:after="140" w:line="307" w:lineRule="auto"/>
        <w:ind w:firstLine="403"/>
      </w:pPr>
      <w:r>
        <w:rPr>
          <w:rFonts w:ascii="Microsoft YaHei" w:hAnsi="Microsoft YaHei" w:eastAsia="Microsoft YaHei"/>
          <w:b w:val="0"/>
          <w:color w:val="292B30"/>
          <w:sz w:val="20"/>
        </w:rPr>
        <w:t>投后监控包括许可续期、土地/特许权义务、税务申报、外汇敞口、供应商履约、产品质量、环境数据、工会关系和集团审计证据。发生政策调整或项目超支时，依次评估缩减范围、延期、变更伙伴、重谈合同或退出。所有政府支持、土地和税收优惠都应保留正式文件并登记条件履行状态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97"/>
        <w:gridCol w:w="4997"/>
      </w:tblGrid>
      <w:tr>
        <w:trPr>
          <w:tblHeader w:val="true"/>
        </w:trPr>
        <w:tc>
          <w:tcPr>
            <w:tcW w:type="dxa" w:w="4997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专题决策清单</w:t>
            </w:r>
          </w:p>
        </w:tc>
        <w:tc>
          <w:tcPr>
            <w:tcW w:type="dxa" w:w="4997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建议形成的投委会材料</w:t>
            </w:r>
          </w:p>
        </w:tc>
      </w:tr>
      <w:tr>
        <w:tc>
          <w:tcPr>
            <w:tcW w:type="dxa" w:w="4997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审批里程碑</w:t>
            </w:r>
          </w:p>
        </w:tc>
        <w:tc>
          <w:tcPr>
            <w:tcW w:type="dxa" w:w="4997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列出主管机关、材料、前置条件、责任人、最长周期和未获批时的合同处理。</w:t>
            </w:r>
          </w:p>
        </w:tc>
      </w:tr>
      <w:tr>
        <w:tc>
          <w:tcPr>
            <w:tcW w:type="dxa" w:w="4997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投后指标</w:t>
            </w:r>
          </w:p>
        </w:tc>
        <w:tc>
          <w:tcPr>
            <w:tcW w:type="dxa" w:w="4997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跟踪实际出资、预算偏差、就业/本地供应、税惠履约、许可续期、审计意见和合规事件。</w:t>
            </w:r>
          </w:p>
        </w:tc>
      </w:tr>
      <w:tr>
        <w:tc>
          <w:tcPr>
            <w:tcW w:type="dxa" w:w="4997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风险预案</w:t>
            </w:r>
          </w:p>
        </w:tc>
        <w:tc>
          <w:tcPr>
            <w:tcW w:type="dxa" w:w="4997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对政策变化、供应链中断、项目延期、汇率冲击和客户流失指定触发点、责任人及替代方案。</w:t>
            </w:r>
          </w:p>
        </w:tc>
      </w:tr>
    </w:tbl>
    <w:p>
      <w:pPr>
        <w:pStyle w:val="Heading1"/>
        <w:keepNext/>
      </w:pPr>
      <w:r>
        <w:rPr>
          <w:rFonts w:ascii="Microsoft YaHei" w:hAnsi="Microsoft YaHei" w:eastAsia="Microsoft YaHei"/>
          <w:b/>
          <w:color w:val="17264C"/>
          <w:sz w:val="34"/>
        </w:rPr>
        <w:t>区域投资流向与市场规模拆解</w:t>
      </w:r>
    </w:p>
    <w:p>
      <w:pPr>
        <w:spacing w:after="140" w:line="307" w:lineRule="auto"/>
        <w:ind w:firstLine="403"/>
      </w:pPr>
      <w:r>
        <w:rPr>
          <w:rFonts w:ascii="Microsoft YaHei" w:hAnsi="Microsoft YaHei" w:eastAsia="Microsoft YaHei"/>
          <w:b w:val="0"/>
          <w:color w:val="292B30"/>
          <w:sz w:val="20"/>
        </w:rPr>
        <w:t>区域判断优先使用直接投资流量、投资存量和项目/并购公告三类指标。官方区域非金融ODI增速与EY公告并购数据库覆盖不同项目且统计时点不同，不能相加。国家/地区比较只使用本册列出的市场；在缺少一致统计时，明确标注“无同口径公开值”，不以贸易额代替投资额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98"/>
        <w:gridCol w:w="2498"/>
        <w:gridCol w:w="2498"/>
        <w:gridCol w:w="2498"/>
      </w:tblGrid>
      <w:tr>
        <w:trPr>
          <w:tblHeader w:val="true"/>
        </w:trPr>
        <w:tc>
          <w:tcPr>
            <w:tcW w:type="dxa" w:w="2498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指标/市场</w:t>
            </w:r>
          </w:p>
        </w:tc>
        <w:tc>
          <w:tcPr>
            <w:tcW w:type="dxa" w:w="2498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公开数据</w:t>
            </w:r>
          </w:p>
        </w:tc>
        <w:tc>
          <w:tcPr>
            <w:tcW w:type="dxa" w:w="2498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统计范围与阶段</w:t>
            </w:r>
          </w:p>
        </w:tc>
        <w:tc>
          <w:tcPr>
            <w:tcW w:type="dxa" w:w="2498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对投资决策的含义</w:t>
            </w:r>
          </w:p>
        </w:tc>
      </w:tr>
      <w:tr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拉美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2024年中资ODI 155.6亿美元；+15.4%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官方年度流量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历史存量与流量不可互换</w:t>
            </w:r>
          </w:p>
        </w:tc>
      </w:tr>
      <w:tr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墨西哥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2024年流量15.52亿美元；+44%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PwC按商务部统计国别摘录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贸易近岸化之外需追踪项目落地</w:t>
            </w:r>
          </w:p>
        </w:tc>
      </w:tr>
      <w:tr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秘鲁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2024年流量3.16亿美元；+319%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小基数使增幅波动较大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结合项目和存量判断</w:t>
            </w:r>
          </w:p>
        </w:tc>
      </w:tr>
    </w:tbl>
    <w:p>
      <w:pPr>
        <w:spacing w:after="140" w:line="307" w:lineRule="auto"/>
        <w:ind w:firstLine="403"/>
      </w:pPr>
      <w:r>
        <w:rPr>
          <w:rFonts w:ascii="Microsoft YaHei" w:hAnsi="Microsoft YaHei" w:eastAsia="Microsoft YaHei"/>
          <w:b w:val="0"/>
          <w:color w:val="292B30"/>
          <w:sz w:val="20"/>
        </w:rPr>
        <w:t>地区投资结论应以企业层面的订单、资产和项目审批复核：先确认目的地国别和实际运营地点，再检查同一交易是否已在直接投资、并购公告或EPC合同中被重复统计。对于本地市场规模，使用GDP、贸易额、港口吞吐等代理变量时，应明确其只反映需求或通道条件，不是中资投资金额。</w:t>
      </w:r>
    </w:p>
    <w:p>
      <w:pPr>
        <w:pStyle w:val="Heading1"/>
        <w:keepNext/>
      </w:pPr>
      <w:r>
        <w:rPr>
          <w:rFonts w:ascii="Microsoft YaHei" w:hAnsi="Microsoft YaHei" w:eastAsia="Microsoft YaHei"/>
          <w:b/>
          <w:color w:val="17264C"/>
          <w:sz w:val="34"/>
        </w:rPr>
        <w:t>七  建议的 90 天工作顺序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97"/>
        <w:gridCol w:w="4997"/>
      </w:tblGrid>
      <w:tr>
        <w:trPr>
          <w:tblHeader w:val="true"/>
        </w:trPr>
        <w:tc>
          <w:tcPr>
            <w:tcW w:type="dxa" w:w="4997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阶段</w:t>
            </w:r>
          </w:p>
        </w:tc>
        <w:tc>
          <w:tcPr>
            <w:tcW w:type="dxa" w:w="4997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建议动作</w:t>
            </w:r>
          </w:p>
        </w:tc>
      </w:tr>
      <w:tr>
        <w:tc>
          <w:tcPr>
            <w:tcW w:type="dxa" w:w="4997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第 1 阶段</w:t>
            </w:r>
          </w:p>
        </w:tc>
        <w:tc>
          <w:tcPr>
            <w:tcW w:type="dxa" w:w="4997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0—30天：选择国家和投资模式，验证客户、矿产/供应链、政策和汇率情景。</w:t>
            </w:r>
          </w:p>
        </w:tc>
      </w:tr>
      <w:tr>
        <w:tc>
          <w:tcPr>
            <w:tcW w:type="dxa" w:w="4997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第 2 阶段</w:t>
            </w:r>
          </w:p>
        </w:tc>
        <w:tc>
          <w:tcPr>
            <w:tcW w:type="dxa" w:w="4997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30—60天：完成东道国法律税务尽调、ODI 路径、交易主体和资本来源文件。</w:t>
            </w:r>
          </w:p>
        </w:tc>
      </w:tr>
      <w:tr>
        <w:tc>
          <w:tcPr>
            <w:tcW w:type="dxa" w:w="4997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第 3 阶段</w:t>
            </w:r>
          </w:p>
        </w:tc>
        <w:tc>
          <w:tcPr>
            <w:tcW w:type="dxa" w:w="4997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60—90天：注册开户、董事授权、本币收款、当地会计与集团报表治理上线。</w:t>
            </w:r>
          </w:p>
        </w:tc>
      </w:tr>
    </w:tbl>
    <w:p>
      <w:pPr>
        <w:pStyle w:val="Heading1"/>
        <w:keepNext/>
      </w:pPr>
      <w:r>
        <w:rPr>
          <w:rFonts w:ascii="Microsoft YaHei" w:hAnsi="Microsoft YaHei" w:eastAsia="Microsoft YaHei"/>
          <w:b/>
          <w:color w:val="17264C"/>
          <w:sz w:val="34"/>
        </w:rPr>
        <w:t>研究说明与资料来源</w:t>
      </w:r>
    </w:p>
    <w:p>
      <w:pPr>
        <w:spacing w:after="140" w:line="307" w:lineRule="auto"/>
        <w:ind w:firstLine="403"/>
      </w:pPr>
      <w:r>
        <w:rPr>
          <w:rFonts w:ascii="Microsoft YaHei" w:hAnsi="Microsoft YaHei" w:eastAsia="Microsoft YaHei"/>
          <w:b w:val="0"/>
          <w:color w:val="292B30"/>
          <w:sz w:val="20"/>
        </w:rPr>
        <w:t>统计口径说明：全行业 ODI 与非金融类 ODI 不能直接互换；人民币和美元同比受汇率及统计修订影响；并购公告金额可能含未交割交易；不同机构数据库对交易对象、宣布时间、完成状态和目的地归属采用不同规则。本报告在相关指标处注明口径，重大投资或法规决策应基于项目事实重新核验。</w:t>
      </w:r>
    </w:p>
    <w:p>
      <w:pPr>
        <w:pStyle w:val="Heading1"/>
        <w:keepNext/>
      </w:pPr>
      <w:r>
        <w:rPr>
          <w:rFonts w:ascii="Microsoft YaHei" w:hAnsi="Microsoft YaHei" w:eastAsia="Microsoft YaHei"/>
          <w:b/>
          <w:color w:val="17264C"/>
          <w:sz w:val="34"/>
        </w:rPr>
        <w:t>附录  中国对外直接投资长期流量序列</w:t>
      </w:r>
    </w:p>
    <w:p>
      <w:pPr>
        <w:spacing w:after="140" w:line="307" w:lineRule="auto"/>
        <w:ind w:firstLine="403"/>
      </w:pPr>
      <w:r>
        <w:rPr>
          <w:rFonts w:ascii="Microsoft YaHei" w:hAnsi="Microsoft YaHei" w:eastAsia="Microsoft YaHei"/>
          <w:b w:val="0"/>
          <w:color w:val="292B30"/>
          <w:sz w:val="20"/>
        </w:rPr>
        <w:t>为观察长期趋势，本表采用商务部统计公报发布的2006—2024年年度序列，并补入2025年最终公报数据。单位为亿美元。2006年以前的早期数据统计范围与全行业 ODI 不完全一致，故不与本序列拼接。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98"/>
        <w:gridCol w:w="2498"/>
        <w:gridCol w:w="2498"/>
        <w:gridCol w:w="2498"/>
      </w:tblGrid>
      <w:tr>
        <w:trPr>
          <w:tblHeader w:val="true"/>
        </w:trPr>
        <w:tc>
          <w:tcPr>
            <w:tcW w:type="dxa" w:w="2498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年份</w:t>
            </w:r>
          </w:p>
        </w:tc>
        <w:tc>
          <w:tcPr>
            <w:tcW w:type="dxa" w:w="2498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流量（亿美元）</w:t>
            </w:r>
          </w:p>
        </w:tc>
        <w:tc>
          <w:tcPr>
            <w:tcW w:type="dxa" w:w="2498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年份</w:t>
            </w:r>
          </w:p>
        </w:tc>
        <w:tc>
          <w:tcPr>
            <w:tcW w:type="dxa" w:w="2498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流量（亿美元）</w:t>
            </w:r>
          </w:p>
        </w:tc>
      </w:tr>
      <w:tr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2006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211.6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2016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1,961.5</w:t>
            </w:r>
          </w:p>
        </w:tc>
      </w:tr>
      <w:tr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2007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265.1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2017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1,582.9</w:t>
            </w:r>
          </w:p>
        </w:tc>
      </w:tr>
      <w:tr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2008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559.1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2018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1,430.4</w:t>
            </w:r>
          </w:p>
        </w:tc>
      </w:tr>
      <w:tr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2009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565.3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2019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1,369.1</w:t>
            </w:r>
          </w:p>
        </w:tc>
      </w:tr>
      <w:tr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2010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688.1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2020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1,537.1</w:t>
            </w:r>
          </w:p>
        </w:tc>
      </w:tr>
      <w:tr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2011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746.5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2021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1,788.2</w:t>
            </w:r>
          </w:p>
        </w:tc>
      </w:tr>
      <w:tr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2012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878.0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2022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1,631.2</w:t>
            </w:r>
          </w:p>
        </w:tc>
      </w:tr>
      <w:tr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2013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1,078.4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2023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1,772.9</w:t>
            </w:r>
          </w:p>
        </w:tc>
      </w:tr>
      <w:tr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2014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1,231.2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2024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1,922.0</w:t>
            </w:r>
          </w:p>
        </w:tc>
      </w:tr>
      <w:tr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2015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1,456.7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2025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2,135.8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94"/>
      </w:tblGrid>
      <w:tr>
        <w:tc>
          <w:tcPr>
            <w:tcW w:type="dxa" w:w="9994"/>
            <w:shd w:fill="FFF2EC"/>
            <w:tcMar>
              <w:top w:w="160" w:type="dxa"/>
              <w:start w:w="200" w:type="dxa"/>
              <w:bottom w:w="160" w:type="dxa"/>
              <w:end w:w="200" w:type="dxa"/>
            </w:tcMar>
          </w:tcPr>
          <w:p>
            <w:pPr>
              <w:spacing w:after="60"/>
            </w:pPr>
            <w:r/>
            <w:r>
              <w:rPr>
                <w:rFonts w:ascii="Microsoft YaHei" w:hAnsi="Microsoft YaHei" w:eastAsia="Microsoft YaHei"/>
                <w:b/>
                <w:color w:val="E9562B"/>
                <w:sz w:val="18"/>
              </w:rPr>
              <w:t>趋势解读</w:t>
            </w:r>
          </w:p>
          <w:p>
            <w:pPr>
              <w:spacing w:after="0" w:line="288" w:lineRule="auto"/>
            </w:pPr>
            <w:r>
              <w:rPr>
                <w:rFonts w:ascii="Microsoft YaHei" w:hAnsi="Microsoft YaHei" w:eastAsia="Microsoft YaHei"/>
                <w:b w:val="0"/>
                <w:color w:val="292B30"/>
                <w:sz w:val="20"/>
              </w:rPr>
              <w:t>2025年为最终统计公报发布值，2135.8亿美元；它比2024年最终公布值1922.0亿美元高11.1%。不同年度公报可能修订历史分项，跨年分析应以同一版本序列为基础。</w:t>
            </w:r>
          </w:p>
        </w:tc>
      </w:tr>
    </w:tbl>
    <w:p>
      <w:pPr>
        <w:spacing w:after="60"/>
        <w:ind w:left="317" w:hanging="317"/>
      </w:pPr>
      <w:r>
        <w:rPr>
          <w:rFonts w:ascii="Microsoft YaHei" w:hAnsi="Microsoft YaHei" w:eastAsia="Microsoft YaHei"/>
          <w:b w:val="0"/>
          <w:color w:val="292B30"/>
          <w:sz w:val="17"/>
        </w:rPr>
        <w:t xml:space="preserve">[1] 商务部等《2024年度中国对外直接投资统计公报》  </w:t>
      </w:r>
      <w:hyperlink r:id="rId12">
        <w:r>
          <w:rPr>
            <w:color w:val="E9562B"/>
            <w:u w:val="single"/>
          </w:rPr>
          <w:t>查看原文</w:t>
        </w:r>
      </w:hyperlink>
    </w:p>
    <w:p>
      <w:pPr>
        <w:spacing w:after="60"/>
        <w:ind w:left="317" w:hanging="317"/>
      </w:pPr>
      <w:r>
        <w:rPr>
          <w:rFonts w:ascii="Microsoft YaHei" w:hAnsi="Microsoft YaHei" w:eastAsia="Microsoft YaHei"/>
          <w:b w:val="0"/>
          <w:color w:val="292B30"/>
          <w:sz w:val="17"/>
        </w:rPr>
        <w:t xml:space="preserve">[2] 商务部等《2024年度中国对外直接投资统计公报》附表  </w:t>
      </w:r>
      <w:hyperlink r:id="rId13">
        <w:r>
          <w:rPr>
            <w:color w:val="E9562B"/>
            <w:u w:val="single"/>
          </w:rPr>
          <w:t>查看原文</w:t>
        </w:r>
      </w:hyperlink>
    </w:p>
    <w:p>
      <w:pPr>
        <w:spacing w:after="60"/>
        <w:ind w:left="317" w:hanging="317"/>
      </w:pPr>
      <w:r>
        <w:rPr>
          <w:rFonts w:ascii="Microsoft YaHei" w:hAnsi="Microsoft YaHei" w:eastAsia="Microsoft YaHei"/>
          <w:b w:val="0"/>
          <w:color w:val="292B30"/>
          <w:sz w:val="17"/>
        </w:rPr>
        <w:t xml:space="preserve">[3] EY《2025年中国海外投资概览》  </w:t>
      </w:r>
      <w:hyperlink r:id="rId14">
        <w:r>
          <w:rPr>
            <w:color w:val="E9562B"/>
            <w:u w:val="single"/>
          </w:rPr>
          <w:t>查看原文</w:t>
        </w:r>
      </w:hyperlink>
    </w:p>
    <w:p>
      <w:pPr>
        <w:spacing w:after="60"/>
        <w:ind w:left="317" w:hanging="317"/>
      </w:pPr>
      <w:r>
        <w:rPr>
          <w:rFonts w:ascii="Microsoft YaHei" w:hAnsi="Microsoft YaHei" w:eastAsia="Microsoft YaHei"/>
          <w:b w:val="0"/>
          <w:color w:val="292B30"/>
          <w:sz w:val="17"/>
        </w:rPr>
        <w:t xml:space="preserve">[4] EY《Overview of 2025 China outbound investment》报告全文  </w:t>
      </w:r>
      <w:hyperlink r:id="rId15">
        <w:r>
          <w:rPr>
            <w:color w:val="E9562B"/>
            <w:u w:val="single"/>
          </w:rPr>
          <w:t>查看原文</w:t>
        </w:r>
      </w:hyperlink>
    </w:p>
    <w:p>
      <w:pPr>
        <w:spacing w:after="60"/>
        <w:ind w:left="317" w:hanging="317"/>
      </w:pPr>
      <w:r>
        <w:rPr>
          <w:rFonts w:ascii="Microsoft YaHei" w:hAnsi="Microsoft YaHei" w:eastAsia="Microsoft YaHei"/>
          <w:b w:val="0"/>
          <w:color w:val="292B30"/>
          <w:sz w:val="17"/>
        </w:rPr>
        <w:t xml:space="preserve">[5] BYD：巴西首辆本地生产纯电车型下线  </w:t>
      </w:r>
      <w:hyperlink r:id="rId16">
        <w:r>
          <w:rPr>
            <w:color w:val="E9562B"/>
            <w:u w:val="single"/>
          </w:rPr>
          <w:t>查看原文</w:t>
        </w:r>
      </w:hyperlink>
    </w:p>
    <w:p>
      <w:pPr>
        <w:spacing w:after="60"/>
        <w:ind w:left="317" w:hanging="317"/>
      </w:pPr>
      <w:r>
        <w:rPr>
          <w:rFonts w:ascii="Microsoft YaHei" w:hAnsi="Microsoft YaHei" w:eastAsia="Microsoft YaHei"/>
          <w:b w:val="0"/>
          <w:color w:val="292B30"/>
          <w:sz w:val="17"/>
        </w:rPr>
        <w:t xml:space="preserve">[6] 商务部等《2025年度中国对外直接投资统计公报》  </w:t>
      </w:r>
      <w:hyperlink r:id="rId17">
        <w:r>
          <w:rPr>
            <w:color w:val="E9562B"/>
            <w:u w:val="single"/>
          </w:rPr>
          <w:t>查看原文</w:t>
        </w:r>
      </w:hyperlink>
    </w:p>
    <w:p>
      <w:pPr>
        <w:spacing w:after="60"/>
        <w:ind w:left="317" w:hanging="317"/>
      </w:pPr>
      <w:r>
        <w:rPr>
          <w:rFonts w:ascii="Microsoft YaHei" w:hAnsi="Microsoft YaHei" w:eastAsia="Microsoft YaHei"/>
          <w:b w:val="0"/>
          <w:color w:val="292B30"/>
          <w:sz w:val="17"/>
        </w:rPr>
        <w:t xml:space="preserve">[7] 商务部《2025年我国对外非金融类直接投资简明统计》  </w:t>
      </w:r>
      <w:hyperlink r:id="rId18">
        <w:r>
          <w:rPr>
            <w:color w:val="E9562B"/>
            <w:u w:val="single"/>
          </w:rPr>
          <w:t>查看原文</w:t>
        </w:r>
      </w:hyperlink>
    </w:p>
    <w:p>
      <w:pPr>
        <w:spacing w:after="60"/>
        <w:ind w:left="317" w:hanging="317"/>
      </w:pPr>
      <w:r>
        <w:rPr>
          <w:rFonts w:ascii="Microsoft YaHei" w:hAnsi="Microsoft YaHei" w:eastAsia="Microsoft YaHei"/>
          <w:b w:val="0"/>
          <w:color w:val="292B30"/>
          <w:sz w:val="17"/>
        </w:rPr>
        <w:t xml:space="preserve">[8] 商务部《2025年对外非金融类直接投资行业统计表》  </w:t>
      </w:r>
      <w:hyperlink r:id="rId19">
        <w:r>
          <w:rPr>
            <w:color w:val="E9562B"/>
            <w:u w:val="single"/>
          </w:rPr>
          <w:t>查看原文</w:t>
        </w:r>
      </w:hyperlink>
    </w:p>
    <w:p>
      <w:pPr>
        <w:spacing w:after="60"/>
        <w:ind w:left="317" w:hanging="317"/>
      </w:pPr>
      <w:r>
        <w:rPr>
          <w:rFonts w:ascii="Microsoft YaHei" w:hAnsi="Microsoft YaHei" w:eastAsia="Microsoft YaHei"/>
          <w:b w:val="0"/>
          <w:color w:val="292B30"/>
          <w:sz w:val="17"/>
        </w:rPr>
        <w:t xml:space="preserve">[9] EY《2025年中国海外投资概览》及地区并购数据  </w:t>
      </w:r>
      <w:hyperlink r:id="rId14">
        <w:r>
          <w:rPr>
            <w:color w:val="E9562B"/>
            <w:u w:val="single"/>
          </w:rPr>
          <w:t>查看原文</w:t>
        </w:r>
      </w:hyperlink>
    </w:p>
    <w:p>
      <w:pPr>
        <w:spacing w:after="60"/>
        <w:ind w:left="317" w:hanging="317"/>
      </w:pPr>
      <w:r>
        <w:rPr>
          <w:rFonts w:ascii="Microsoft YaHei" w:hAnsi="Microsoft YaHei" w:eastAsia="Microsoft YaHei"/>
          <w:b w:val="0"/>
          <w:color w:val="292B30"/>
          <w:sz w:val="17"/>
        </w:rPr>
        <w:t xml:space="preserve">[10] BYD：巴西卡马萨里工厂首辆本地产车型下线  </w:t>
      </w:r>
      <w:hyperlink r:id="rId16">
        <w:r>
          <w:rPr>
            <w:color w:val="E9562B"/>
            <w:u w:val="single"/>
          </w:rPr>
          <w:t>查看原文</w:t>
        </w:r>
      </w:hyperlink>
    </w:p>
    <w:p>
      <w:pPr>
        <w:spacing w:after="60"/>
        <w:ind w:left="317" w:hanging="317"/>
      </w:pPr>
      <w:r>
        <w:rPr>
          <w:rFonts w:ascii="Microsoft YaHei" w:hAnsi="Microsoft YaHei" w:eastAsia="Microsoft YaHei"/>
          <w:b w:val="0"/>
          <w:color w:val="292B30"/>
          <w:sz w:val="17"/>
        </w:rPr>
        <w:t xml:space="preserve">[11] 巴西 SUFRAMA：玛瑙斯自由贸易区激励  </w:t>
      </w:r>
      <w:hyperlink r:id="rId20">
        <w:r>
          <w:rPr>
            <w:color w:val="E9562B"/>
            <w:u w:val="single"/>
          </w:rPr>
          <w:t>查看原文</w:t>
        </w:r>
      </w:hyperlink>
    </w:p>
    <w:p>
      <w:pPr>
        <w:spacing w:after="60"/>
        <w:ind w:left="317" w:hanging="317"/>
      </w:pPr>
      <w:r>
        <w:rPr>
          <w:rFonts w:ascii="Microsoft YaHei" w:hAnsi="Microsoft YaHei" w:eastAsia="Microsoft YaHei"/>
          <w:b w:val="0"/>
          <w:color w:val="292B30"/>
          <w:sz w:val="17"/>
        </w:rPr>
        <w:t xml:space="preserve">[12] 商务部等《2024年度中国对外直接投资统计公报》历史流量图表  </w:t>
      </w:r>
      <w:hyperlink r:id="rId21">
        <w:r>
          <w:rPr>
            <w:color w:val="E9562B"/>
            <w:u w:val="single"/>
          </w:rPr>
          <w:t>查看原文</w:t>
        </w:r>
      </w:hyperlink>
    </w:p>
    <w:p>
      <w:pPr>
        <w:pStyle w:val="Heading1"/>
        <w:keepNext/>
      </w:pPr>
      <w:r>
        <w:rPr>
          <w:rFonts w:ascii="Microsoft YaHei" w:hAnsi="Microsoft YaHei" w:eastAsia="Microsoft YaHei"/>
          <w:b/>
          <w:color w:val="17264C"/>
          <w:sz w:val="34"/>
        </w:rPr>
        <w:t>投资委员会初筛评分卡</w:t>
      </w:r>
    </w:p>
    <w:p>
      <w:pPr>
        <w:spacing w:after="140" w:line="307" w:lineRule="auto"/>
        <w:ind w:firstLine="403"/>
      </w:pPr>
      <w:r>
        <w:rPr>
          <w:rFonts w:ascii="Microsoft YaHei" w:hAnsi="Microsoft YaHei" w:eastAsia="Microsoft YaHei"/>
          <w:b w:val="0"/>
          <w:color w:val="292B30"/>
          <w:sz w:val="20"/>
        </w:rPr>
        <w:t>建议项目组在国家/地区初筛后，由业务、财务、法务合规和运营共同评分。权重和阈值是本报告提供的讨论模板，可按企业风险偏好调整；它们不是东道国法定标准，也不能替代尽职调查。每项按1—5分评分，5分代表证据充分且风险可控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98"/>
        <w:gridCol w:w="2498"/>
        <w:gridCol w:w="2498"/>
        <w:gridCol w:w="2498"/>
      </w:tblGrid>
      <w:tr>
        <w:trPr>
          <w:tblHeader w:val="true"/>
        </w:trPr>
        <w:tc>
          <w:tcPr>
            <w:tcW w:type="dxa" w:w="2498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评分维度</w:t>
            </w:r>
          </w:p>
        </w:tc>
        <w:tc>
          <w:tcPr>
            <w:tcW w:type="dxa" w:w="2498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权重</w:t>
            </w:r>
          </w:p>
        </w:tc>
        <w:tc>
          <w:tcPr>
            <w:tcW w:type="dxa" w:w="2498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评分依据</w:t>
            </w:r>
          </w:p>
        </w:tc>
        <w:tc>
          <w:tcPr>
            <w:tcW w:type="dxa" w:w="2498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项目评分（1—5）</w:t>
            </w:r>
          </w:p>
        </w:tc>
      </w:tr>
      <w:tr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市场需求与客户覆盖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20%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订单/客户访谈、市场规模、竞品和收入币种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____</w:t>
            </w:r>
          </w:p>
        </w:tc>
      </w:tr>
      <w:tr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准入与许可可执行性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15%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外资股比、资本/实缴、行业许可和审批周期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____</w:t>
            </w:r>
          </w:p>
        </w:tc>
      </w:tr>
      <w:tr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园区与激励可获得性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10%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地块资格、活动清单、正式批文与履约条件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____</w:t>
            </w:r>
          </w:p>
        </w:tc>
      </w:tr>
      <w:tr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供应链与生产要素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15%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供应商、能源、水、物流、人才和基础设施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____</w:t>
            </w:r>
          </w:p>
        </w:tc>
      </w:tr>
      <w:tr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风险调整后回报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20%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基准/下行情景、资本成本、汇率及回收期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____</w:t>
            </w:r>
          </w:p>
        </w:tc>
      </w:tr>
      <w:tr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治理、韧性与退出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20%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伙伴治理、资金回流、审计、停产/退出方案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____</w:t>
            </w:r>
          </w:p>
        </w:tc>
      </w:tr>
    </w:tbl>
    <w:p>
      <w:pPr>
        <w:spacing w:after="140" w:line="307" w:lineRule="auto"/>
        <w:ind w:firstLine="403"/>
      </w:pPr>
      <w:r>
        <w:rPr>
          <w:rFonts w:ascii="Microsoft YaHei" w:hAnsi="Microsoft YaHei" w:eastAsia="Microsoft YaHei"/>
          <w:b w:val="0"/>
          <w:color w:val="292B30"/>
          <w:sz w:val="20"/>
        </w:rPr>
        <w:t>计算建议：加权得分＝Σ（单项评分×权重）÷5。可将低于60分设为暂缓，60—75分进入补充尽调，高于75分提交正式立项审议；若外资准入、关键许可、土地权属或资金来源存在未解决的否决性问题，不因总分较高而跳过先决条件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94"/>
      </w:tblGrid>
      <w:tr>
        <w:tc>
          <w:tcPr>
            <w:tcW w:type="dxa" w:w="9994"/>
            <w:shd w:fill="F3F5F8"/>
            <w:tcMar>
              <w:top w:w="160" w:type="dxa"/>
              <w:start w:w="200" w:type="dxa"/>
              <w:bottom w:w="160" w:type="dxa"/>
              <w:end w:w="200" w:type="dxa"/>
            </w:tcMar>
          </w:tcPr>
          <w:p>
            <w:pPr>
              <w:spacing w:after="60"/>
            </w:pPr>
            <w:r/>
            <w:r>
              <w:rPr>
                <w:rFonts w:ascii="Microsoft YaHei" w:hAnsi="Microsoft YaHei" w:eastAsia="Microsoft YaHei"/>
                <w:b/>
                <w:color w:val="E9562B"/>
                <w:sz w:val="18"/>
              </w:rPr>
              <w:t>投资决策使用提示</w:t>
            </w:r>
          </w:p>
          <w:p>
            <w:pPr>
              <w:spacing w:after="0" w:line="288" w:lineRule="auto"/>
            </w:pPr>
            <w:r>
              <w:rPr>
                <w:rFonts w:ascii="Microsoft YaHei" w:hAnsi="Microsoft YaHei" w:eastAsia="Microsoft YaHei"/>
                <w:b w:val="0"/>
                <w:color w:val="292B30"/>
                <w:sz w:val="20"/>
              </w:rPr>
              <w:t>本报告用于形成市场初筛和尽调议题清单，不构成法律、税务、审计或投资建议。涉及持股比例、最低资本、实缴期限、园区激励和行业许可的具体项目，应以投资地主管机关最新正式规则及书面批准为准。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037" w:right="1123" w:bottom="1037" w:left="1123" w:header="432" w:footer="461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Microsoft YaHei" w:hAnsi="Microsoft YaHei" w:eastAsia="Microsoft YaHei"/>
        <w:b w:val="0"/>
        <w:color w:val="69717E"/>
        <w:sz w:val="16"/>
      </w:rPr>
      <w:t xml:space="preserve">上海乾桥禾融企业咨询有限公司  ·  2026年10月22日  ·  </w:t>
    </w:r>
    <w:r>
      <w:rPr>
        <w:rFonts w:ascii="Microsoft YaHei" w:hAnsi="Microsoft YaHei" w:eastAsia="Microsoft YaHei"/>
        <w:b w:val="0"/>
        <w:color w:val="69717E"/>
        <w:sz w:val="16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Microsoft YaHei" w:hAnsi="Microsoft YaHei" w:eastAsia="Microsoft YaHei"/>
        <w:b/>
        <w:color w:val="17264C"/>
        <w:sz w:val="16"/>
      </w:rPr>
      <w:t>乾桥禾融  |  企业出海研究系列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Microsoft YaHei" w:hAnsi="Microsoft YaHei" w:eastAsia="Microsoft YaHei"/>
      <w:color w:val="292B3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17264C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0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A86B4F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100"/>
      <w:outlineLvl w:val="2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E9562B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hyperlink" Target="https://www.gov.cn/lianbo/bumen/202509/P020250908508134967854.pdf" TargetMode="External"/><Relationship Id="rId13" Type="http://schemas.openxmlformats.org/officeDocument/2006/relationships/hyperlink" Target="https://images.mofcom.gov.cn/fec/202509/20250908141021122.pdf" TargetMode="External"/><Relationship Id="rId14" Type="http://schemas.openxmlformats.org/officeDocument/2006/relationships/hyperlink" Target="https://www.ey.com/zh_cn/newsroom/2026/02/ey-releases-the-overview-of-china-outbound-investment-of-2025" TargetMode="External"/><Relationship Id="rId15" Type="http://schemas.openxmlformats.org/officeDocument/2006/relationships/hyperlink" Target="https://www.ey.com/content/dam/ey-unified-site/ey-com/zh-cn/insights/china-overseas-investment-network/documents/ey-overview-of-2025-china-outbound-investment-zh.pdf" TargetMode="External"/><Relationship Id="rId16" Type="http://schemas.openxmlformats.org/officeDocument/2006/relationships/hyperlink" Target="https://prod.byd.com/en/news-list/First-BYD-Electric-Vehicle-Rolls-off-the-Line-in-Brazil.html" TargetMode="External"/><Relationship Id="rId17" Type="http://schemas.openxmlformats.org/officeDocument/2006/relationships/hyperlink" Target="https://www.mofcom.gov.cn/zfxxgk/gkml/art/2026/art_5135ff712b8f4bdc804374d2d29ff9f0.html" TargetMode="External"/><Relationship Id="rId18" Type="http://schemas.openxmlformats.org/officeDocument/2006/relationships/hyperlink" Target="https://www.mofcom.gov.cn/zfxxgk/fdzdgknr/ztfl/tjsj/gwjjhztj/art/2026/art_708927a77336454da43ef9b9af84e06f.html" TargetMode="External"/><Relationship Id="rId19" Type="http://schemas.openxmlformats.org/officeDocument/2006/relationships/hyperlink" Target="https://fec.mofcom.gov.cn/article/zyfw/hybg/qtbg/202602/3959.html" TargetMode="External"/><Relationship Id="rId20" Type="http://schemas.openxmlformats.org/officeDocument/2006/relationships/hyperlink" Target="https://www.gov.br/suframa/pt-br/assuntos/invest-eng/zfm" TargetMode="External"/><Relationship Id="rId21" Type="http://schemas.openxmlformats.org/officeDocument/2006/relationships/hyperlink" Target="https://www.mofcom.gov.cn/cms_files/filemanager/1077459795/attach/20255/b62b8a78eadd4f92898d27286fd5209b.pdf?fileName=2024%E5%B9%B4%E4%B8%AD%E5%9B%BD%E5%AF%B9%E5%A4%96%E7%9B%B4%E6%8E%A5%E6%8A%95%E8%B5%84%E7%BB%9F%E8%AE%A1%E5%85%AC%E6%8A%A5-%E4%B8%AD%E6%96%87%E9%83%A8%E5%88%86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中国企业拉丁美洲投资白皮书</dc:title>
  <dc:subject>中国企业海外直接投资与经营布局</dc:subject>
  <dc:creator>上海乾桥禾融企业咨询有限公司</dc:creator>
  <cp:keywords>ODI, 出海, 境外投资, 乾桥禾融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