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Lines/>
        <w:spacing w:before="40" w:after="480"/>
      </w:pPr>
      <w:r>
        <w:drawing>
          <wp:inline xmlns:a="http://schemas.openxmlformats.org/drawingml/2006/main" xmlns:pic="http://schemas.openxmlformats.org/drawingml/2006/picture">
            <wp:extent cx="475488" cy="475488"/>
            <wp:docPr id="1" name="Picture 1"/>
            <wp:cNvGraphicFramePr>
              <a:graphicFrameLocks noChangeAspect="1"/>
            </wp:cNvGraphicFramePr>
            <a:graphic>
              <a:graphicData uri="http://schemas.openxmlformats.org/drawingml/2006/picture">
                <pic:pic>
                  <pic:nvPicPr>
                    <pic:cNvPr id="0" name="qianqiao-logo.png"/>
                    <pic:cNvPicPr/>
                  </pic:nvPicPr>
                  <pic:blipFill>
                    <a:blip r:embed="rId11"/>
                    <a:stretch>
                      <a:fillRect/>
                    </a:stretch>
                  </pic:blipFill>
                  <pic:spPr>
                    <a:xfrm>
                      <a:off x="0" y="0"/>
                      <a:ext cx="475488" cy="475488"/>
                    </a:xfrm>
                    <a:prstGeom prst="rect"/>
                  </pic:spPr>
                </pic:pic>
              </a:graphicData>
            </a:graphic>
          </wp:inline>
        </w:drawing>
      </w:r>
      <w:r>
        <w:rPr>
          <w:rFonts w:ascii="Microsoft YaHei" w:hAnsi="Microsoft YaHei" w:eastAsia="Microsoft YaHei"/>
          <w:b/>
          <w:color w:val="17264C"/>
          <w:sz w:val="18"/>
        </w:rPr>
        <w:t xml:space="preserve">   乾桥禾融研究系列  |  上海乾桥禾融企业咨询有限公司</w:t>
      </w:r>
    </w:p>
    <w:p>
      <w:pPr>
        <w:spacing w:before="80" w:after="160"/>
      </w:pPr>
      <w:r>
        <w:rPr>
          <w:rFonts w:ascii="Microsoft YaHei" w:hAnsi="Microsoft YaHei" w:eastAsia="Microsoft YaHei"/>
          <w:b/>
          <w:color w:val="E9562B"/>
          <w:sz w:val="17"/>
        </w:rPr>
        <w:t>QIANQIAO INSIGHT   /   行业研究   /   2026</w:t>
      </w:r>
    </w:p>
    <w:p>
      <w:pPr>
        <w:keepNext/>
        <w:keepLines/>
        <w:spacing w:before="40" w:after="160" w:line="259" w:lineRule="auto"/>
      </w:pPr>
      <w:r>
        <w:rPr>
          <w:rFonts w:ascii="Microsoft YaHei" w:hAnsi="Microsoft YaHei" w:eastAsia="Microsoft YaHei"/>
          <w:b/>
          <w:color w:val="17264C"/>
          <w:sz w:val="51"/>
        </w:rPr>
        <w:t>中国企业海外消费品与跨境零售投资白皮书</w:t>
      </w:r>
    </w:p>
    <w:p>
      <w:pPr>
        <w:keepNext/>
        <w:spacing w:after="220"/>
        <w:pBdr>
          <w:bottom w:val="single" w:sz="20" w:space="8" w:color="E9562B"/>
        </w:pBdr>
      </w:pPr>
      <w:r>
        <w:rPr>
          <w:rFonts w:ascii="Microsoft YaHei" w:hAnsi="Microsoft YaHei" w:eastAsia="Microsoft YaHei"/>
          <w:b w:val="0"/>
          <w:color w:val="A86B4F"/>
          <w:sz w:val="28"/>
        </w:rPr>
        <w:t>渠道、品牌与本地履约能力成为扩张核心</w:t>
      </w:r>
    </w:p>
    <w:tbl>
      <w:tblPr>
        <w:tblW w:type="auto" w:w="0"/>
        <w:tblLook w:firstColumn="1" w:firstRow="1" w:lastColumn="0" w:lastRow="0" w:noHBand="0" w:noVBand="1" w:val="04A0"/>
      </w:tblPr>
      <w:tblGrid>
        <w:gridCol w:w="9994"/>
      </w:tblGrid>
      <w:tr>
        <w:tc>
          <w:tcPr>
            <w:tcW w:type="dxa" w:w="9994"/>
            <w:shd w:fill="F3F5F8"/>
            <w:tcMar>
              <w:top w:w="190" w:type="dxa"/>
              <w:start w:w="220" w:type="dxa"/>
              <w:bottom w:w="190" w:type="dxa"/>
              <w:end w:w="220" w:type="dxa"/>
            </w:tcMar>
          </w:tcPr>
          <w:p>
            <w:pPr>
              <w:spacing w:after="100"/>
            </w:pPr>
            <w:r/>
            <w:r>
              <w:rPr>
                <w:rFonts w:ascii="Microsoft YaHei" w:hAnsi="Microsoft YaHei" w:eastAsia="Microsoft YaHei"/>
                <w:b/>
                <w:color w:val="E9562B"/>
                <w:sz w:val="18"/>
              </w:rPr>
              <w:t>研究要点</w:t>
            </w:r>
          </w:p>
          <w:p>
            <w:pPr>
              <w:spacing w:after="0" w:line="295" w:lineRule="auto"/>
            </w:pPr>
            <w:r>
              <w:rPr>
                <w:rFonts w:ascii="Microsoft YaHei" w:hAnsi="Microsoft YaHei" w:eastAsia="Microsoft YaHei"/>
                <w:b w:val="0"/>
                <w:color w:val="292B30"/>
                <w:sz w:val="21"/>
              </w:rPr>
              <w:t>消费品与零售是当前出海投资较活跃的服务场景。成长路径已从单纯跨境电商销售转向品牌、渠道、仓储履约、售后、采购和本地团队组合。企业需要在资本性投资、贸易业务和平台经营间分别设计主体与税务关系。</w:t>
            </w:r>
          </w:p>
        </w:tc>
      </w:tr>
    </w:tbl>
    <w:p>
      <w:pPr>
        <w:spacing w:after="0"/>
      </w:pPr>
    </w:p>
    <w:tbl>
      <w:tblPr>
        <w:tblW w:type="auto" w:w="0"/>
        <w:jc w:val="center"/>
        <w:tblLayout w:type="fixed"/>
        <w:tblLook w:firstColumn="1" w:firstRow="1" w:lastColumn="0" w:lastRow="0" w:noHBand="0" w:noVBand="1" w:val="04A0"/>
      </w:tblPr>
      <w:tblGrid>
        <w:gridCol w:w="3331"/>
        <w:gridCol w:w="3331"/>
        <w:gridCol w:w="3331"/>
      </w:tblGrid>
      <w:tr>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2555亿元</w:t>
            </w:r>
          </w:p>
          <w:p>
            <w:pPr>
              <w:spacing w:after="40"/>
              <w:jc w:val="center"/>
            </w:pPr>
            <w:r>
              <w:rPr>
                <w:rFonts w:ascii="Microsoft YaHei" w:hAnsi="Microsoft YaHei" w:eastAsia="Microsoft YaHei"/>
                <w:b/>
                <w:color w:val="292B30"/>
                <w:sz w:val="17"/>
              </w:rPr>
              <w:t>2025年非金融类批发零售业 ODI</w:t>
            </w:r>
          </w:p>
          <w:p>
            <w:pPr>
              <w:spacing w:after="0"/>
              <w:jc w:val="center"/>
            </w:pPr>
            <w:r>
              <w:rPr>
                <w:rFonts w:ascii="Microsoft YaHei" w:hAnsi="Microsoft YaHei" w:eastAsia="Microsoft YaHei"/>
                <w:b w:val="0"/>
                <w:color w:val="69717E"/>
                <w:sz w:val="16"/>
              </w:rPr>
              <w:t>同比 +27.3%</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43.6亿美元</w:t>
            </w:r>
          </w:p>
          <w:p>
            <w:pPr>
              <w:spacing w:after="40"/>
              <w:jc w:val="center"/>
            </w:pPr>
            <w:r>
              <w:rPr>
                <w:rFonts w:ascii="Microsoft YaHei" w:hAnsi="Microsoft YaHei" w:eastAsia="Microsoft YaHei"/>
                <w:b/>
                <w:color w:val="292B30"/>
                <w:sz w:val="17"/>
              </w:rPr>
              <w:t>2025年中国企业海外并购公告额</w:t>
            </w:r>
          </w:p>
          <w:p>
            <w:pPr>
              <w:spacing w:after="0"/>
              <w:jc w:val="center"/>
            </w:pPr>
            <w:r>
              <w:rPr>
                <w:rFonts w:ascii="Microsoft YaHei" w:hAnsi="Microsoft YaHei" w:eastAsia="Microsoft YaHei"/>
                <w:b w:val="0"/>
                <w:color w:val="69717E"/>
                <w:sz w:val="16"/>
              </w:rPr>
              <w:t>EY口径，同比近 +40%</w:t>
            </w:r>
          </w:p>
        </w:tc>
        <w:tc>
          <w:tcPr>
            <w:tcW w:type="dxa" w:w="2995"/>
            <w:shd w:fill="F3F5F8"/>
            <w:tcMar>
              <w:top w:w="180" w:type="dxa"/>
              <w:start w:w="150" w:type="dxa"/>
              <w:bottom w:w="180" w:type="dxa"/>
              <w:end w:w="150" w:type="dxa"/>
            </w:tcMar>
          </w:tcPr>
          <w:p>
            <w:pPr>
              <w:spacing w:after="60"/>
              <w:jc w:val="center"/>
            </w:pPr>
            <w:r/>
            <w:r>
              <w:rPr>
                <w:rFonts w:ascii="Microsoft YaHei" w:hAnsi="Microsoft YaHei" w:eastAsia="Microsoft YaHei"/>
                <w:b/>
                <w:color w:val="17264C"/>
                <w:sz w:val="30"/>
              </w:rPr>
              <w:t>429宗</w:t>
            </w:r>
          </w:p>
          <w:p>
            <w:pPr>
              <w:spacing w:after="40"/>
              <w:jc w:val="center"/>
            </w:pPr>
            <w:r>
              <w:rPr>
                <w:rFonts w:ascii="Microsoft YaHei" w:hAnsi="Microsoft YaHei" w:eastAsia="Microsoft YaHei"/>
                <w:b/>
                <w:color w:val="292B30"/>
                <w:sz w:val="17"/>
              </w:rPr>
              <w:t>2025年中国企业海外并购公告交易数</w:t>
            </w:r>
          </w:p>
          <w:p>
            <w:pPr>
              <w:spacing w:after="0"/>
              <w:jc w:val="center"/>
            </w:pPr>
            <w:r>
              <w:rPr>
                <w:rFonts w:ascii="Microsoft YaHei" w:hAnsi="Microsoft YaHei" w:eastAsia="Microsoft YaHei"/>
                <w:b w:val="0"/>
                <w:color w:val="69717E"/>
                <w:sz w:val="16"/>
              </w:rPr>
              <w:t>同比 -1%</w:t>
            </w:r>
          </w:p>
        </w:tc>
      </w:tr>
    </w:tbl>
    <w:p>
      <w:pPr>
        <w:spacing w:after="0"/>
      </w:pPr>
    </w:p>
    <w:p>
      <w:pPr>
        <w:spacing w:before="180" w:after="60"/>
      </w:pPr>
      <w:r>
        <w:rPr>
          <w:rFonts w:ascii="Microsoft YaHei" w:hAnsi="Microsoft YaHei" w:eastAsia="Microsoft YaHei"/>
          <w:b w:val="0"/>
          <w:color w:val="69717E"/>
          <w:sz w:val="17"/>
        </w:rPr>
        <w:t>研究对象  /  中国企业境外直接投资及相关产业项目</w:t>
      </w:r>
    </w:p>
    <w:p>
      <w:r>
        <w:rPr>
          <w:rFonts w:ascii="Microsoft YaHei" w:hAnsi="Microsoft YaHei" w:eastAsia="Microsoft YaHei"/>
          <w:b w:val="0"/>
          <w:color w:val="69717E"/>
          <w:sz w:val="17"/>
        </w:rPr>
        <w:t>数据截点：截至 2026年10月22日 可查的公开资料；2025 年年度 ODI 采用三部门统计公报最终口径，较早发布的初步统计单独标注。</w:t>
      </w:r>
    </w:p>
    <w:p>
      <w:pPr>
        <w:pStyle w:val="Heading1"/>
        <w:keepNext/>
        <w:pageBreakBefore/>
      </w:pPr>
      <w:r>
        <w:rPr>
          <w:rFonts w:ascii="Microsoft YaHei" w:hAnsi="Microsoft YaHei" w:eastAsia="Microsoft YaHei"/>
          <w:b/>
          <w:color w:val="17264C"/>
          <w:sz w:val="34"/>
        </w:rPr>
        <w:t>一  核心判断与投资脉络</w:t>
      </w:r>
    </w:p>
    <w:p>
      <w:pPr>
        <w:pStyle w:val="ListBullet"/>
        <w:spacing w:after="80" w:line="283" w:lineRule="auto"/>
        <w:ind w:left="346" w:hanging="202"/>
      </w:pPr>
      <w:r>
        <w:rPr>
          <w:rFonts w:ascii="Microsoft YaHei" w:hAnsi="Microsoft YaHei" w:eastAsia="Microsoft YaHei"/>
          <w:b w:val="0"/>
          <w:color w:val="292B30"/>
          <w:sz w:val="19"/>
        </w:rPr>
        <w:t>2025年非金融类批发和零售业 ODI 为2555亿元人民币，同比增长27.3%，在披露的非金融行业中金额最高。</w:t>
      </w:r>
    </w:p>
    <w:p>
      <w:pPr>
        <w:pStyle w:val="ListBullet"/>
        <w:spacing w:after="80" w:line="283" w:lineRule="auto"/>
        <w:ind w:left="346" w:hanging="202"/>
      </w:pPr>
      <w:r>
        <w:rPr>
          <w:rFonts w:ascii="Microsoft YaHei" w:hAnsi="Microsoft YaHei" w:eastAsia="Microsoft YaHei"/>
          <w:b w:val="0"/>
          <w:color w:val="292B30"/>
          <w:sz w:val="19"/>
        </w:rPr>
        <w:t>EY统计的2025年海外并购公告金额为436亿美元、429宗；消费品按并购交易金额成为最热门行业之一，品牌收购和渠道整合拉动交易。</w:t>
      </w:r>
    </w:p>
    <w:p>
      <w:pPr>
        <w:pStyle w:val="ListBullet"/>
        <w:spacing w:after="80" w:line="283" w:lineRule="auto"/>
        <w:ind w:left="346" w:hanging="202"/>
      </w:pPr>
      <w:r>
        <w:rPr>
          <w:rFonts w:ascii="Microsoft YaHei" w:hAnsi="Microsoft YaHei" w:eastAsia="Microsoft YaHei"/>
          <w:b w:val="0"/>
          <w:color w:val="292B30"/>
          <w:sz w:val="19"/>
        </w:rPr>
        <w:t>销售公司、平台运营主体、仓储/物流实体、品牌知识产权主体的利润和风险不同；境外架构应以真实业务流程为基础，避免形式化空壳安排。</w:t>
      </w:r>
    </w:p>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阅读提示</w:t>
            </w:r>
          </w:p>
          <w:p>
            <w:pPr>
              <w:spacing w:after="0" w:line="288" w:lineRule="auto"/>
            </w:pPr>
            <w:r>
              <w:rPr>
                <w:rFonts w:ascii="Microsoft YaHei" w:hAnsi="Microsoft YaHei" w:eastAsia="Microsoft YaHei"/>
                <w:b w:val="0"/>
                <w:color w:val="292B30"/>
                <w:sz w:val="20"/>
              </w:rPr>
              <w:t>本报告把官方 ODI 流量、并购公告、项目投资承诺和企业调查分开使用；公告计划额不等于已投入资本，东道国接收全球 FDI 也不等于中国来源 ODI。</w:t>
            </w:r>
          </w:p>
        </w:tc>
      </w:tr>
    </w:tbl>
    <w:p>
      <w:pPr>
        <w:pStyle w:val="Heading1"/>
        <w:keepNext/>
      </w:pPr>
      <w:r>
        <w:rPr>
          <w:rFonts w:ascii="Microsoft YaHei" w:hAnsi="Microsoft YaHei" w:eastAsia="Microsoft YaHei"/>
          <w:b/>
          <w:color w:val="17264C"/>
          <w:sz w:val="34"/>
        </w:rPr>
        <w:t>二  规模、结构与数据口径</w:t>
      </w:r>
    </w:p>
    <w:p>
      <w:pPr>
        <w:spacing w:after="140" w:line="307" w:lineRule="auto"/>
        <w:ind w:firstLine="403"/>
      </w:pPr>
      <w:r>
        <w:rPr>
          <w:rFonts w:ascii="Microsoft YaHei" w:hAnsi="Microsoft YaHei" w:eastAsia="Microsoft YaHei"/>
          <w:b w:val="0"/>
          <w:color w:val="292B30"/>
          <w:sz w:val="20"/>
        </w:rPr>
        <w:t>2025年非金融类批发和零售业 ODI 为2555亿元人民币，同比增长27.3%。EY对公告的海外并购交易统计为436亿美元、429宗，其中消费品按交易价值超过TMT，体现品牌和渠道交易活跃。两个指标分别为官方行业投资与公告并购，统计范围不同。趋势判断应进一步结合实际订单、当地客户和市场进入方式。</w:t>
      </w:r>
    </w:p>
    <w:p>
      <w:pPr>
        <w:spacing w:after="140" w:line="307" w:lineRule="auto"/>
        <w:ind w:firstLine="403"/>
      </w:pPr>
      <w:r>
        <w:rPr>
          <w:rFonts w:ascii="Microsoft YaHei" w:hAnsi="Microsoft YaHei" w:eastAsia="Microsoft YaHei"/>
          <w:b w:val="0"/>
          <w:color w:val="292B30"/>
          <w:sz w:val="20"/>
        </w:rPr>
        <w:t>2025年中国对外非金融批发零售业投资2555亿元人民币，占非金融ODI约24.6%，同比增长27.3%，是已披露非金融行业中金额最大的类别。UNCTAD测算43个经济体企业电子商务销售额2022年约27万亿美元，但其中大部分为B2B或国内交易，不能将其视作跨境零售市场规模。</w:t>
      </w:r>
    </w:p>
    <w:tbl>
      <w:tblPr>
        <w:tblStyle w:val="TableGrid"/>
        <w:tblW w:type="auto" w:w="0"/>
        <w:jc w:val="center"/>
        <w:tblLayout w:type="autofit"/>
        <w:tblLook w:firstColumn="1" w:firstRow="1" w:lastColumn="0" w:lastRow="0" w:noHBand="0" w:noVBand="1" w:val="04A0"/>
      </w:tblPr>
      <w:tblGrid>
        <w:gridCol w:w="3331"/>
        <w:gridCol w:w="3331"/>
        <w:gridCol w:w="3331"/>
      </w:tblGrid>
      <w:tr>
        <w:trPr>
          <w:tblHeader w:val="true"/>
        </w:trPr>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2025年非金融类行业</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流量（亿元人民币）</w:t>
            </w:r>
          </w:p>
        </w:tc>
        <w:tc>
          <w:tcPr>
            <w:tcW w:type="dxa" w:w="3331"/>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租赁和商务服务</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2719</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批发和零售</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2555</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+27.3%</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制造业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-4.6%</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交通运输仓储</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709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+34.8%</w:t>
            </w:r>
          </w:p>
        </w:tc>
      </w:tr>
      <w:tr>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采矿业</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801</w:t>
            </w:r>
          </w:p>
        </w:tc>
        <w:tc>
          <w:tcPr>
            <w:tcW w:type="dxa" w:w="3331"/>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-10.3%</w:t>
            </w:r>
          </w:p>
        </w:tc>
      </w:tr>
      <w:tr>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信息软件服务</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369</w:t>
            </w:r>
          </w:p>
        </w:tc>
        <w:tc>
          <w:tcPr>
            <w:tcW w:type="dxa" w:w="3331"/>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-11.1%</w:t>
            </w:r>
          </w:p>
        </w:tc>
      </w:tr>
    </w:tbl>
    <w:p>
      <w:pPr>
        <w:spacing w:before="60"/>
      </w:pPr>
      <w:r>
        <w:rPr>
          <w:rFonts w:ascii="Microsoft YaHei" w:hAnsi="Microsoft YaHei" w:eastAsia="Microsoft YaHei"/>
          <w:b w:val="0"/>
          <w:color w:val="69717E"/>
          <w:sz w:val="16"/>
        </w:rPr>
        <w:t>图表口径：国家统计局发布的非金融类对外直接投资行业分布。</w:t>
      </w:r>
    </w:p>
    <w:p>
      <w:pPr>
        <w:pStyle w:val="Heading1"/>
        <w:keepNext/>
      </w:pPr>
      <w:r>
        <w:rPr>
          <w:rFonts w:ascii="Microsoft YaHei" w:hAnsi="Microsoft YaHei" w:eastAsia="Microsoft YaHei"/>
          <w:b/>
          <w:color w:val="17264C"/>
          <w:sz w:val="34"/>
        </w:rPr>
        <w:t>三  市场机会与进入方式</w:t>
      </w:r>
    </w:p>
    <w:p>
      <w:pPr>
        <w:spacing w:after="140" w:line="307" w:lineRule="auto"/>
        <w:ind w:firstLine="403"/>
      </w:pPr>
      <w:r>
        <w:rPr>
          <w:rFonts w:ascii="Microsoft YaHei" w:hAnsi="Microsoft YaHei" w:eastAsia="Microsoft YaHei"/>
          <w:b w:val="0"/>
          <w:color w:val="292B30"/>
          <w:sz w:val="20"/>
        </w:rPr>
        <w:t>东盟适合区域电商、直营/经销、仓储和品牌本地化布局；各国平台准入、产品标签、进口税、支付和退换货要求差异明显。</w:t>
      </w:r>
    </w:p>
    <w:p>
      <w:pPr>
        <w:spacing w:after="140" w:line="307" w:lineRule="auto"/>
        <w:ind w:firstLine="403"/>
      </w:pPr>
      <w:r>
        <w:rPr>
          <w:rFonts w:ascii="Microsoft YaHei" w:hAnsi="Microsoft YaHei" w:eastAsia="Microsoft YaHei"/>
          <w:b w:val="0"/>
          <w:color w:val="292B30"/>
          <w:sz w:val="20"/>
        </w:rPr>
        <w:t>欧洲和北美拥有较高的消费能力与成熟渠道，但产品安全、环保、包装、隐私、消费者保护、产品责任和广告规则需要前置核查。</w:t>
      </w:r>
    </w:p>
    <w:p>
      <w:pPr>
        <w:spacing w:after="140" w:line="307" w:lineRule="auto"/>
        <w:ind w:firstLine="403"/>
      </w:pPr>
      <w:r>
        <w:rPr>
          <w:rFonts w:ascii="Microsoft YaHei" w:hAnsi="Microsoft YaHei" w:eastAsia="Microsoft YaHei"/>
          <w:b w:val="0"/>
          <w:color w:val="292B30"/>
          <w:sz w:val="20"/>
        </w:rPr>
        <w:t>中东消费市场与现代零售、品牌体验和数字渠道发展较快，代理、进口商、线上平台和直营组合需要清晰划分权限。</w:t>
      </w:r>
    </w:p>
    <w:p>
      <w:pPr>
        <w:spacing w:after="140" w:line="307" w:lineRule="auto"/>
        <w:ind w:firstLine="403"/>
      </w:pPr>
      <w:r>
        <w:rPr>
          <w:rFonts w:ascii="Microsoft YaHei" w:hAnsi="Microsoft YaHei" w:eastAsia="Microsoft YaHei"/>
          <w:b w:val="0"/>
          <w:color w:val="292B30"/>
          <w:sz w:val="20"/>
        </w:rPr>
        <w:t>收购当地品牌或经销商可以获取客户、门店和团队，但须核验商标/设计权、库存质量、供应商合同、渠道返点和未决投诉。</w:t>
      </w:r>
    </w:p>
    <w:p>
      <w:pPr>
        <w:pStyle w:val="Heading1"/>
        <w:keepNext/>
      </w:pPr>
      <w:r>
        <w:rPr>
          <w:rFonts w:ascii="Microsoft YaHei" w:hAnsi="Microsoft YaHei" w:eastAsia="Microsoft YaHei"/>
          <w:b/>
          <w:color w:val="17264C"/>
          <w:sz w:val="34"/>
        </w:rPr>
        <w:t>重点市场准入与选址政策对照</w:t>
      </w:r>
    </w:p>
    <w:p>
      <w:pPr>
        <w:spacing w:after="140" w:line="307" w:lineRule="auto"/>
        <w:ind w:firstLine="403"/>
      </w:pPr>
      <w:r>
        <w:rPr>
          <w:rFonts w:ascii="Microsoft YaHei" w:hAnsi="Microsoft YaHei" w:eastAsia="Microsoft YaHei"/>
          <w:b w:val="0"/>
          <w:color w:val="292B30"/>
          <w:sz w:val="20"/>
        </w:rPr>
        <w:t>行业市场对照用于建立初筛清单。法定资本、最低实缴、外资股比和激励资格以项目主体、具体活动和最新官方规则为准；公司注册资本不等于投资促进项目的最低投资额。</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代表市场（不超过10个）</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准入、资本或选址政策关注点</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新加坡</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公司资本可低额设立，但进口、产品安全、消费保护、GST和平台责任需分开处理。</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泰国</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外资零售/批发可能受FBA限制；特定规模门槛或许可证/BOI路径决定可行性。</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马来西亚</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分销贸易需遵守行业指南、外资审批与地方营业许可；制造和零售的股权规则不同。</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墨西哥</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本地销售公司与IMMEX出口制造不是同一制度；后者限合格制造/服务出口业务并负库存申报义务。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波兰/欧盟</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消费品须处理产品安全、包装/回收责任与VAT；波兰投资区优惠一般不当然覆盖普通批零业务。</w:t>
            </w:r>
          </w:p>
        </w:tc>
      </w:tr>
    </w:tbl>
    <w:p>
      <w:pPr>
        <w:pStyle w:val="Heading1"/>
        <w:keepNext/>
      </w:pPr>
      <w:r>
        <w:rPr>
          <w:rFonts w:ascii="Microsoft YaHei" w:hAnsi="Microsoft YaHei" w:eastAsia="Microsoft YaHei"/>
          <w:b/>
          <w:color w:val="17264C"/>
          <w:sz w:val="34"/>
        </w:rPr>
        <w:t>四  代表性项目观察</w:t>
      </w:r>
    </w:p>
    <w:p>
      <w:pPr>
        <w:spacing w:after="140" w:line="307" w:lineRule="auto"/>
        <w:ind w:firstLine="403"/>
      </w:pPr>
      <w:r>
        <w:rPr>
          <w:rFonts w:ascii="Microsoft YaHei" w:hAnsi="Microsoft YaHei" w:eastAsia="Microsoft YaHei"/>
          <w:b w:val="0"/>
          <w:color w:val="292B30"/>
          <w:sz w:val="20"/>
        </w:rPr>
        <w:t>EY报告指出2025年消费品行业海外并购交易价值超过TMT，品牌收购和渠道整合成为交易动因；报告同时列出京东对欧洲消费电子零售商集团提出自愿公开收购要约的案例。该事项属于要约公告，不能简写成已完成收购。</w:t>
      </w:r>
    </w:p>
    <w:p>
      <w:pPr>
        <w:pStyle w:val="Heading2"/>
        <w:keepNext/>
      </w:pPr>
      <w:r>
        <w:rPr>
          <w:rFonts w:ascii="Microsoft YaHei" w:hAnsi="Microsoft YaHei" w:eastAsia="Microsoft YaHei"/>
          <w:b/>
          <w:color w:val="A86B4F"/>
          <w:sz w:val="24"/>
        </w:rPr>
        <w:t>代表项目观察</w:t>
      </w:r>
    </w:p>
    <w:p>
      <w:pPr>
        <w:spacing w:after="140" w:line="307" w:lineRule="auto"/>
        <w:ind w:firstLine="403"/>
      </w:pPr>
      <w:r>
        <w:rPr>
          <w:rFonts w:ascii="Microsoft YaHei" w:hAnsi="Microsoft YaHei" w:eastAsia="Microsoft YaHei"/>
          <w:b w:val="0"/>
          <w:color w:val="292B30"/>
          <w:sz w:val="20"/>
        </w:rPr>
        <w:t>以下项目区分股权投资、建设投资、许可合作与项目规划。金额均按企业或政府公开披露口径记录；未披露的明确标记，规划额不代表已投金额。项目状态以来源公布日期为准，重大交易需再核验最新进展。</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项目与所在地</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投资方与产业环节</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公开金额与项目阶段</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可核验的投资观察</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欧洲｜京东收购Ceconomy公开要约</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京东；MediaMarkt/Saturn零售渠道</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2025年公开宣布的自愿收购要约；公告交易估值约€22.50/股，交割取决于条件。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这是并购公告而非已完成交易；分析监管审批、要约接受率和交割状态。</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东南亚｜MINISO海外门店与本地运营网络</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名创优品；品牌零售及供应链</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公司持续拓展海外门店；单一国家投资额未统一披露。</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区分直营投资、加盟店投资和商品出口，核查租约、加盟收入和库存风险。</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巴西｜BYD品牌销售与本地制造协同</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比亚迪；品牌、渠道、整车本地生产</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巴西工厂投资计划约R$5.5bn；2025年首车下线。</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检验渠道扩张是否转化为售后能力和本地销售，不把工厂投资重复计入零售资产。</w:t>
            </w:r>
          </w:p>
        </w:tc>
      </w:tr>
    </w:tbl>
    <w:p>
      <w:pPr>
        <w:pStyle w:val="Heading1"/>
        <w:keepNext/>
      </w:pPr>
      <w:r>
        <w:rPr>
          <w:rFonts w:ascii="Microsoft YaHei" w:hAnsi="Microsoft YaHei" w:eastAsia="Microsoft YaHei"/>
          <w:b/>
          <w:color w:val="17264C"/>
          <w:sz w:val="34"/>
        </w:rPr>
        <w:t>五  重点合规与执行风险</w:t>
      </w:r>
    </w:p>
    <w:p>
      <w:pPr>
        <w:pStyle w:val="ListBullet"/>
        <w:spacing w:after="80" w:line="283" w:lineRule="auto"/>
        <w:ind w:left="346" w:hanging="202"/>
      </w:pPr>
      <w:r>
        <w:rPr>
          <w:rFonts w:ascii="Microsoft YaHei" w:hAnsi="Microsoft YaHei" w:eastAsia="Microsoft YaHei"/>
          <w:b w:val="0"/>
          <w:color w:val="292B30"/>
          <w:sz w:val="19"/>
        </w:rPr>
        <w:t>产品与消费者：认证、标签语言、成分/材质限制、产品责任、召回、售后保障、退货和数据隐私。</w:t>
      </w:r>
    </w:p>
    <w:p>
      <w:pPr>
        <w:pStyle w:val="ListBullet"/>
        <w:spacing w:after="80" w:line="283" w:lineRule="auto"/>
        <w:ind w:left="346" w:hanging="202"/>
      </w:pPr>
      <w:r>
        <w:rPr>
          <w:rFonts w:ascii="Microsoft YaHei" w:hAnsi="Microsoft YaHei" w:eastAsia="Microsoft YaHei"/>
          <w:b w:val="0"/>
          <w:color w:val="292B30"/>
          <w:sz w:val="19"/>
        </w:rPr>
        <w:t>税务与海关：进口税、增值税/销售税、仓储地与常设机构、平台代扣代缴、转让定价及原产地。</w:t>
      </w:r>
    </w:p>
    <w:p>
      <w:pPr>
        <w:pStyle w:val="ListBullet"/>
        <w:spacing w:after="80" w:line="283" w:lineRule="auto"/>
        <w:ind w:left="346" w:hanging="202"/>
      </w:pPr>
      <w:r>
        <w:rPr>
          <w:rFonts w:ascii="Microsoft YaHei" w:hAnsi="Microsoft YaHei" w:eastAsia="Microsoft YaHei"/>
          <w:b w:val="0"/>
          <w:color w:val="292B30"/>
          <w:sz w:val="19"/>
        </w:rPr>
        <w:t>渠道治理：经销商独家权、价格政策、反垄断、返点、库存回购、商标许可与线上渠道控制。</w:t>
      </w:r>
    </w:p>
    <w:p>
      <w:pPr>
        <w:pStyle w:val="ListBullet"/>
        <w:spacing w:after="80" w:line="283" w:lineRule="auto"/>
        <w:ind w:left="346" w:hanging="202"/>
      </w:pPr>
      <w:r>
        <w:rPr>
          <w:rFonts w:ascii="Microsoft YaHei" w:hAnsi="Microsoft YaHei" w:eastAsia="Microsoft YaHei"/>
          <w:b w:val="0"/>
          <w:color w:val="292B30"/>
          <w:sz w:val="19"/>
        </w:rPr>
        <w:t>资金管理：多币种收款、退款/拒付、平台结算周期、关联服务费与跨境利润分配需要形成可审计记录。</w:t>
      </w:r>
    </w:p>
    <w:p>
      <w:pPr>
        <w:pStyle w:val="Heading1"/>
        <w:keepNext/>
      </w:pPr>
      <w:r>
        <w:rPr>
          <w:rFonts w:ascii="Microsoft YaHei" w:hAnsi="Microsoft YaHei" w:eastAsia="Microsoft YaHei"/>
          <w:b/>
          <w:color w:val="17264C"/>
          <w:sz w:val="34"/>
        </w:rPr>
        <w:t>六  投资启示</w:t>
      </w:r>
    </w:p>
    <w:p>
      <w:pPr>
        <w:pStyle w:val="ListBullet"/>
        <w:spacing w:after="80" w:line="283" w:lineRule="auto"/>
        <w:ind w:left="346" w:hanging="202"/>
      </w:pPr>
      <w:r>
        <w:rPr>
          <w:rFonts w:ascii="Microsoft YaHei" w:hAnsi="Microsoft YaHei" w:eastAsia="Microsoft YaHei"/>
          <w:b w:val="0"/>
          <w:color w:val="292B30"/>
          <w:sz w:val="19"/>
        </w:rPr>
        <w:t>把目标市场拆为销售验证、合规准入、试点运营和规模化投资四个阶段，先验证需求与单位经济性，再承诺固定资产和长期租赁。</w:t>
      </w:r>
    </w:p>
    <w:p>
      <w:pPr>
        <w:pStyle w:val="ListBullet"/>
        <w:spacing w:after="80" w:line="283" w:lineRule="auto"/>
        <w:ind w:left="346" w:hanging="202"/>
      </w:pPr>
      <w:r>
        <w:rPr>
          <w:rFonts w:ascii="Microsoft YaHei" w:hAnsi="Microsoft YaHei" w:eastAsia="Microsoft YaHei"/>
          <w:b w:val="0"/>
          <w:color w:val="292B30"/>
          <w:sz w:val="19"/>
        </w:rPr>
        <w:t>对股权限制、许可、最低资本/实缴、园区资格、补贴期限与追回条件建立先决条件清单；将政策优惠按“已批准/可申请/尚未确认”分层计入模型。</w:t>
      </w:r>
    </w:p>
    <w:p>
      <w:pPr>
        <w:pStyle w:val="ListBullet"/>
        <w:spacing w:after="80" w:line="283" w:lineRule="auto"/>
        <w:ind w:left="346" w:hanging="202"/>
      </w:pPr>
      <w:r>
        <w:rPr>
          <w:rFonts w:ascii="Microsoft YaHei" w:hAnsi="Microsoft YaHei" w:eastAsia="Microsoft YaHei"/>
          <w:b w:val="0"/>
          <w:color w:val="292B30"/>
          <w:sz w:val="19"/>
        </w:rPr>
        <w:t>对供应商、本地化、原产地、数据/技术、能源和人才设定投资闸门与备选方案，并将汇率、税务、融资与退出情景纳入敏感性分析。</w:t>
      </w:r>
    </w:p>
    <w:p>
      <w:pPr>
        <w:pStyle w:val="ListBullet"/>
        <w:spacing w:after="80" w:line="283" w:lineRule="auto"/>
        <w:ind w:left="346" w:hanging="202"/>
      </w:pPr>
      <w:r>
        <w:rPr>
          <w:rFonts w:ascii="Microsoft YaHei" w:hAnsi="Microsoft YaHei" w:eastAsia="Microsoft YaHei"/>
          <w:b w:val="0"/>
          <w:color w:val="292B30"/>
          <w:sz w:val="19"/>
        </w:rPr>
        <w:t>在境内 ODI 审批、境外架构、资金路径、公司设立开户、关联交易及持续审计之间建立一致的项目治理和证据链。</w:t>
      </w:r>
    </w:p>
    <w:p>
      <w:pPr>
        <w:pStyle w:val="Heading1"/>
        <w:keepNext/>
      </w:pPr>
      <w:r>
        <w:rPr>
          <w:rFonts w:ascii="Microsoft YaHei" w:hAnsi="Microsoft YaHei" w:eastAsia="Microsoft YaHei"/>
          <w:b/>
          <w:color w:val="17264C"/>
          <w:sz w:val="34"/>
        </w:rPr>
        <w:t>行业专题  进入路径与单位经济性</w:t>
      </w:r>
    </w:p>
    <w:p>
      <w:pPr>
        <w:spacing w:after="140" w:line="307" w:lineRule="auto"/>
        <w:ind w:firstLine="403"/>
      </w:pPr>
      <w:r>
        <w:rPr>
          <w:rFonts w:ascii="Microsoft YaHei" w:hAnsi="Microsoft YaHei" w:eastAsia="Microsoft YaHei"/>
          <w:b w:val="0"/>
          <w:color w:val="292B30"/>
          <w:sz w:val="20"/>
        </w:rPr>
        <w:t>消费品出海可采用跨境电商直销、第三方平台、当地经销、品牌授权、设立销售公司或并购渠道等路径。按客单价、平台费、广告获客、退货、仓储、最后一公里、关税、VAT/GST和本地客服拆分单件贡献利润。只有在复购和渠道转化经验证后再扩建仓储或直营网点，避免以GMV增长掩盖退货、广告和库存减值。</w:t>
      </w:r>
    </w:p>
    <w:p>
      <w:pPr>
        <w:spacing w:after="140" w:line="307" w:lineRule="auto"/>
        <w:ind w:firstLine="403"/>
      </w:pPr>
      <w:r>
        <w:rPr>
          <w:rFonts w:ascii="Microsoft YaHei" w:hAnsi="Microsoft YaHei" w:eastAsia="Microsoft YaHei"/>
          <w:b w:val="0"/>
          <w:color w:val="292B30"/>
          <w:sz w:val="20"/>
        </w:rPr>
        <w:t>产品责任和合规不是渠道后端工作：配方/材料、标签语言、认证、包装回收、消费者撤回权、保修、数据和广告声明都会改变产品成本与上市时间。电商平台、进口商、当地销售实体和品牌许可方之间要明确库存所有权、价格控制、售后责任、消费者数据和税务申报责任。外资零售限制按实际业务活动识别，市场营销、批发、零售和平台服务可能分别分类。</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行业专题  本地运营与现金流控制</w:t>
      </w:r>
    </w:p>
    <w:p>
      <w:pPr>
        <w:spacing w:after="140" w:line="307" w:lineRule="auto"/>
        <w:ind w:firstLine="403"/>
      </w:pPr>
      <w:r>
        <w:rPr>
          <w:rFonts w:ascii="Microsoft YaHei" w:hAnsi="Microsoft YaHei" w:eastAsia="Microsoft YaHei"/>
          <w:b w:val="0"/>
          <w:color w:val="292B30"/>
          <w:sz w:val="20"/>
        </w:rPr>
        <w:t>区域仓、保税仓、直发和当地经销的差异体现在交期、税务、存货占用和退货处理。按国家设计库存预测、保质期、售后备件和促销计划；对汇率、海运、平台费率、广告成本及退货率做压力测试。若采用出口加工或临时进口制度，必须把适用范围与一般本地销售隔离，保存进口、加工、出口和库存核销记录。</w:t>
      </w:r>
    </w:p>
    <w:p>
      <w:pPr>
        <w:spacing w:after="140" w:line="307" w:lineRule="auto"/>
        <w:ind w:firstLine="403"/>
      </w:pPr>
      <w:r>
        <w:rPr>
          <w:rFonts w:ascii="Microsoft YaHei" w:hAnsi="Microsoft YaHei" w:eastAsia="Microsoft YaHei"/>
          <w:b w:val="0"/>
          <w:color w:val="292B30"/>
          <w:sz w:val="20"/>
        </w:rPr>
        <w:t>投后指标应包括国家级贡献毛利、获客成本与回收期、库存周转、缺货率、退货率、平台依赖度、应收账款、税务差异和消费者投诉。重点 SKU 应设停产、降价和召回阈值。促销和渠道返利要留存合同与凭证；跨境关联交易及品牌许可费应有合理商业依据和一致的会计处理。</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投委会指标</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建议在立项/投后持续观察</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需求与现金流</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客户合同/订单覆盖、回款周期、单位经济性与下行情景</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资本与进度</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预算偏差、许可/建设里程碑、实际出资与产能爬坡</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合规与韧性</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准入许可、供应链/原产地、环境社会和退出触发条件</w:t>
            </w:r>
          </w:p>
        </w:tc>
      </w:tr>
    </w:tbl>
    <w:p>
      <w:pPr>
        <w:pStyle w:val="Heading1"/>
        <w:keepNext/>
      </w:pPr>
      <w:r>
        <w:rPr>
          <w:rFonts w:ascii="Microsoft YaHei" w:hAnsi="Microsoft YaHei" w:eastAsia="Microsoft YaHei"/>
          <w:b/>
          <w:color w:val="17264C"/>
          <w:sz w:val="34"/>
        </w:rPr>
        <w:t>行业投资额、占比与市场容量</w:t>
      </w:r>
    </w:p>
    <w:p>
      <w:pPr>
        <w:spacing w:after="140" w:line="307" w:lineRule="auto"/>
        <w:ind w:firstLine="403"/>
      </w:pPr>
      <w:r>
        <w:rPr>
          <w:rFonts w:ascii="Microsoft YaHei" w:hAnsi="Microsoft YaHei" w:eastAsia="Microsoft YaHei"/>
          <w:b w:val="0"/>
          <w:color w:val="292B30"/>
          <w:sz w:val="20"/>
        </w:rPr>
        <w:t>下表中的中国对外投资行业金额来自商务部2025年非金融类行业统计，分母为10404.2亿元人民币；金融业按全行业ODI统计另列。占比由公开金额计算，受四舍五入影响。全球市场指标用于衡量需求或资本环境，不等同于中资可投资市场、企业收入或目标公司的估值。</w:t>
      </w:r>
    </w:p>
    <w:tbl>
      <w:tblPr>
        <w:tblStyle w:val="TableGrid"/>
        <w:tblW w:type="auto" w:w="0"/>
        <w:jc w:val="center"/>
        <w:tblLayout w:type="autofit"/>
        <w:tblLook w:firstColumn="1" w:firstRow="1" w:lastColumn="0" w:lastRow="0" w:noHBand="0" w:noVBand="1" w:val="04A0"/>
      </w:tblPr>
      <w:tblGrid>
        <w:gridCol w:w="1999"/>
        <w:gridCol w:w="1999"/>
        <w:gridCol w:w="1999"/>
        <w:gridCol w:w="1999"/>
        <w:gridCol w:w="1999"/>
      </w:tblGrid>
      <w:tr>
        <w:trPr>
          <w:tblHeader w:val="true"/>
        </w:trPr>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规模或趋势指标</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2025/最新值</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占比/范围</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同比或趋势</w:t>
            </w:r>
          </w:p>
        </w:tc>
        <w:tc>
          <w:tcPr>
            <w:tcW w:type="dxa" w:w="1999"/>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数据解释</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批发零售业ODI</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2555亿元</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24.6%</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+27.3%</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2025非金融行业最大类别</w:t>
            </w:r>
          </w:p>
        </w:tc>
      </w:tr>
      <w:tr>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海外并购公告</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436亿美元</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429宗交易</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金额近+40%；宗数-1%</w:t>
            </w:r>
          </w:p>
        </w:tc>
        <w:tc>
          <w:tcPr>
            <w:tcW w:type="dxa" w:w="1999"/>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EY公告并购，全行业交易</w:t>
            </w:r>
          </w:p>
        </w:tc>
      </w:tr>
      <w:tr>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全球企业电商销售</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约27万亿美元</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43个经济体</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2022统计/估值</w:t>
            </w:r>
          </w:p>
        </w:tc>
        <w:tc>
          <w:tcPr>
            <w:tcW w:type="dxa" w:w="1999"/>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不等于跨境B2C市场规模</w:t>
            </w:r>
          </w:p>
        </w:tc>
      </w:tr>
    </w:tbl>
    <w:p>
      <w:pPr>
        <w:spacing w:after="140" w:line="307" w:lineRule="auto"/>
        <w:ind w:firstLine="403"/>
      </w:pPr>
      <w:r>
        <w:rPr>
          <w:rFonts w:ascii="Microsoft YaHei" w:hAnsi="Microsoft YaHei" w:eastAsia="Microsoft YaHei"/>
          <w:b w:val="0"/>
          <w:color w:val="292B30"/>
          <w:sz w:val="20"/>
        </w:rPr>
        <w:t>投资判断应将“行业景气”拆成可转化为项目现金流的条件：产品获客、订单覆盖、资本强度、许可周期、产能利用率、价格/单位收入及退出机制。高增速小基数、跨行业统计和并购公告会产生显著偏差，模型应至少设置基准、下行和延迟三个情景。</w:t>
      </w:r>
    </w:p>
    <w:p>
      <w:pPr>
        <w:pStyle w:val="Heading1"/>
        <w:keepNext/>
      </w:pPr>
      <w:r>
        <w:rPr>
          <w:rFonts w:ascii="Microsoft YaHei" w:hAnsi="Microsoft YaHei" w:eastAsia="Microsoft YaHei"/>
          <w:b/>
          <w:color w:val="17264C"/>
          <w:sz w:val="34"/>
        </w:rPr>
        <w:t>七  建议的 90 天工作顺序</w:t>
      </w:r>
    </w:p>
    <w:tbl>
      <w:tblPr>
        <w:tblStyle w:val="TableGrid"/>
        <w:tblW w:type="auto" w:w="0"/>
        <w:jc w:val="center"/>
        <w:tblLayout w:type="autofit"/>
        <w:tblLook w:firstColumn="1" w:firstRow="1" w:lastColumn="0" w:lastRow="0" w:noHBand="0" w:noVBand="1" w:val="04A0"/>
      </w:tblPr>
      <w:tblGrid>
        <w:gridCol w:w="4997"/>
        <w:gridCol w:w="4997"/>
      </w:tblGrid>
      <w:tr>
        <w:trPr>
          <w:tblHeader w:val="true"/>
        </w:trPr>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阶段</w:t>
            </w:r>
          </w:p>
        </w:tc>
        <w:tc>
          <w:tcPr>
            <w:tcW w:type="dxa" w:w="4997"/>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建议动作</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1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0—30天：梳理销售国、SKU、平台/经销模式、收款币种、仓储和实际履约地。</w:t>
            </w:r>
          </w:p>
        </w:tc>
      </w:tr>
      <w:tr>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2 阶段</w:t>
            </w:r>
          </w:p>
        </w:tc>
        <w:tc>
          <w:tcPr>
            <w:tcW w:type="dxa" w:w="4997"/>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30—60天：确定各国实体、进口商和品牌权利安排，完成 ODI 与税务/海关的市场准入核查。</w:t>
            </w:r>
          </w:p>
        </w:tc>
      </w:tr>
      <w:tr>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第 3 阶段</w:t>
            </w:r>
          </w:p>
        </w:tc>
        <w:tc>
          <w:tcPr>
            <w:tcW w:type="dxa" w:w="4997"/>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60—90天：开户及支付上线，建立销售、存货、平台费、VAT/销售税、退货和审计底稿流程。</w:t>
            </w:r>
          </w:p>
        </w:tc>
      </w:tr>
    </w:tbl>
    <w:p>
      <w:pPr>
        <w:pStyle w:val="Heading1"/>
        <w:keepNext/>
      </w:pPr>
      <w:r>
        <w:rPr>
          <w:rFonts w:ascii="Microsoft YaHei" w:hAnsi="Microsoft YaHei" w:eastAsia="Microsoft YaHei"/>
          <w:b/>
          <w:color w:val="17264C"/>
          <w:sz w:val="34"/>
        </w:rPr>
        <w:t>研究说明与资料来源</w:t>
      </w:r>
    </w:p>
    <w:p>
      <w:pPr>
        <w:spacing w:after="140" w:line="307" w:lineRule="auto"/>
        <w:ind w:firstLine="403"/>
      </w:pPr>
      <w:r>
        <w:rPr>
          <w:rFonts w:ascii="Microsoft YaHei" w:hAnsi="Microsoft YaHei" w:eastAsia="Microsoft YaHei"/>
          <w:b w:val="0"/>
          <w:color w:val="292B30"/>
          <w:sz w:val="20"/>
        </w:rPr>
        <w:t>统计口径说明：全行业 ODI 与非金融类 ODI 不能直接互换；人民币和美元同比受汇率及统计修订影响；并购公告金额可能含未交割交易；不同机构数据库对交易对象、宣布时间、完成状态和目的地归属采用不同规则。本报告在相关指标处注明口径，重大投资或法规决策应基于项目事实重新核验。</w:t>
      </w:r>
    </w:p>
    <w:p>
      <w:pPr>
        <w:pStyle w:val="Heading1"/>
        <w:keepNext/>
      </w:pPr>
      <w:r>
        <w:rPr>
          <w:rFonts w:ascii="Microsoft YaHei" w:hAnsi="Microsoft YaHei" w:eastAsia="Microsoft YaHei"/>
          <w:b/>
          <w:color w:val="17264C"/>
          <w:sz w:val="34"/>
        </w:rPr>
        <w:t>附录  中国对外直接投资长期流量序列</w:t>
      </w:r>
    </w:p>
    <w:p>
      <w:pPr>
        <w:spacing w:after="140" w:line="307" w:lineRule="auto"/>
        <w:ind w:firstLine="403"/>
      </w:pPr>
      <w:r>
        <w:rPr>
          <w:rFonts w:ascii="Microsoft YaHei" w:hAnsi="Microsoft YaHei" w:eastAsia="Microsoft YaHei"/>
          <w:b w:val="0"/>
          <w:color w:val="292B30"/>
          <w:sz w:val="20"/>
        </w:rPr>
        <w:t>为观察长期趋势，本表采用商务部统计公报发布的2006—2024年年度序列，并补入2025年最终公报数据。单位为亿美元。2006年以前的早期数据统计范围与全行业 ODI 不完全一致，故不与本序列拼接。</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年份</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流量（亿美元）</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2016</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1,961.5</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265.1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1,582.9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559.1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2018</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1,430.4</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2009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565.3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2019</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1,369.1</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688.1</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1,537.1</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746.5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2021</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1,788.2</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878.0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1,631.2</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1,078.4</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2023</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1,772.9</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1,231.2</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2024</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1,922.0</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1,456.7</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2025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2,135.8</w:t>
            </w:r>
          </w:p>
        </w:tc>
      </w:tr>
    </w:tbl>
    <w:tbl>
      <w:tblPr>
        <w:tblW w:type="auto" w:w="0"/>
        <w:jc w:val="center"/>
        <w:tblLook w:firstColumn="1" w:firstRow="1" w:lastColumn="0" w:lastRow="0" w:noHBand="0" w:noVBand="1" w:val="04A0"/>
      </w:tblPr>
      <w:tblGrid>
        <w:gridCol w:w="9994"/>
      </w:tblGrid>
      <w:tr>
        <w:tc>
          <w:tcPr>
            <w:tcW w:type="dxa" w:w="9994"/>
            <w:shd w:fill="FFF2EC"/>
            <w:tcMar>
              <w:top w:w="160" w:type="dxa"/>
              <w:start w:w="200" w:type="dxa"/>
              <w:bottom w:w="160" w:type="dxa"/>
              <w:end w:w="200" w:type="dxa"/>
            </w:tcMar>
          </w:tcPr>
          <w:p>
            <w:pPr>
              <w:spacing w:after="60"/>
            </w:pPr>
            <w:r/>
            <w:r>
              <w:rPr>
                <w:rFonts w:ascii="Microsoft YaHei" w:hAnsi="Microsoft YaHei" w:eastAsia="Microsoft YaHei"/>
                <w:b/>
                <w:color w:val="E9562B"/>
                <w:sz w:val="18"/>
              </w:rPr>
              <w:t>趋势解读</w:t>
            </w:r>
          </w:p>
          <w:p>
            <w:pPr>
              <w:spacing w:after="0" w:line="288" w:lineRule="auto"/>
            </w:pPr>
            <w:r>
              <w:rPr>
                <w:rFonts w:ascii="Microsoft YaHei" w:hAnsi="Microsoft YaHei" w:eastAsia="Microsoft YaHei"/>
                <w:b w:val="0"/>
                <w:color w:val="292B30"/>
                <w:sz w:val="20"/>
              </w:rPr>
              <w:t>2025年为最终统计公报发布值，2135.8亿美元；它比2024年最终公布值1922.0亿美元高11.1%。不同年度公报可能修订历史分项，跨年分析应以同一版本序列为基础。</w:t>
            </w:r>
          </w:p>
        </w:tc>
      </w:tr>
    </w:tbl>
    <w:p>
      <w:pPr>
        <w:spacing w:after="60"/>
        <w:ind w:left="317" w:hanging="317"/>
      </w:pPr>
      <w:r>
        <w:rPr>
          <w:rFonts w:ascii="Microsoft YaHei" w:hAnsi="Microsoft YaHei" w:eastAsia="Microsoft YaHei"/>
          <w:b w:val="0"/>
          <w:color w:val="292B30"/>
          <w:sz w:val="17"/>
        </w:rPr>
        <w:t xml:space="preserve">[1] 国家统计局《中华人民共和国2025年国民经济和社会发展统计公报》  </w:t>
      </w:r>
      <w:hyperlink r:id="rId1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[2] 商务部等《2025年度中国对外直接投资统计公报》  </w:t>
      </w:r>
      <w:hyperlink r:id="rId1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[3] EY《2025年中国海外投资概览》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[4] EY《Overview of 2025 China outbound investment》报告全文  </w:t>
      </w:r>
      <w:hyperlink r:id="rId15">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[5] ASEAN Invest《ASEAN attracts record FDI in 2025》  </w:t>
      </w:r>
      <w:hyperlink r:id="rId16">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[6] UNCTAD《World Investment Report 2026》新闻稿  </w:t>
      </w:r>
      <w:hyperlink r:id="rId17">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[7] 商务部《2025年我国对外非金融类直接投资简明统计》  </w:t>
      </w:r>
      <w:hyperlink r:id="rId18">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[8] 商务部《2025年对外非金融类直接投资行业统计表》  </w:t>
      </w:r>
      <w:hyperlink r:id="rId19">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[9] EY《2025年中国海外投资概览》及地区并购数据  </w:t>
      </w:r>
      <w:hyperlink r:id="rId1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[10] UNCTAD《Digital Economy Report 2024》电子商务销售额统计  </w:t>
      </w:r>
      <w:hyperlink r:id="rId20">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[11] UNCTAD《Digital Economy Report 2024》跨境电商估算  </w:t>
      </w:r>
      <w:hyperlink r:id="rId21">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[12] 墨西哥经济部 IMMEX 出口制造计划  </w:t>
      </w:r>
      <w:hyperlink r:id="rId22">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[13] 泰国投资促进委员会：外资企业设立、最低资本及优惠  </w:t>
      </w:r>
      <w:hyperlink r:id="rId23">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[14] 波兰投资贸易局：波兰投资区优惠  </w:t>
      </w:r>
      <w:hyperlink r:id="rId24">
        <w:r>
          <w:rPr>
            <w:color w:val="E9562B"/>
            <w:u w:val="single"/>
          </w:rPr>
          <w:t>查看原文</w:t>
        </w:r>
      </w:hyperlink>
    </w:p>
    <w:p>
      <w:pPr>
        <w:spacing w:after="60"/>
        <w:ind w:left="317" w:hanging="317"/>
      </w:pPr>
      <w:r>
        <w:rPr>
          <w:rFonts w:ascii="Microsoft YaHei" w:hAnsi="Microsoft YaHei" w:eastAsia="Microsoft YaHei"/>
          <w:b w:val="0"/>
          <w:color w:val="292B30"/>
          <w:sz w:val="17"/>
        </w:rPr>
        <w:t xml:space="preserve">[15] 商务部等《2024年度中国对外直接投资统计公报》历史流量图表  </w:t>
      </w:r>
      <w:hyperlink r:id="rId25">
        <w:r>
          <w:rPr>
            <w:color w:val="E9562B"/>
            <w:u w:val="single"/>
          </w:rPr>
          <w:t>查看原文</w:t>
        </w:r>
      </w:hyperlink>
    </w:p>
    <w:p>
      <w:pPr>
        <w:pStyle w:val="Heading1"/>
        <w:keepNext/>
      </w:pPr>
      <w:r>
        <w:rPr>
          <w:rFonts w:ascii="Microsoft YaHei" w:hAnsi="Microsoft YaHei" w:eastAsia="Microsoft YaHei"/>
          <w:b/>
          <w:color w:val="17264C"/>
          <w:sz w:val="34"/>
        </w:rPr>
        <w:t>投资委员会初筛评分卡</w:t>
      </w:r>
    </w:p>
    <w:p>
      <w:pPr>
        <w:spacing w:after="140" w:line="307" w:lineRule="auto"/>
        <w:ind w:firstLine="403"/>
      </w:pPr>
      <w:r>
        <w:rPr>
          <w:rFonts w:ascii="Microsoft YaHei" w:hAnsi="Microsoft YaHei" w:eastAsia="Microsoft YaHei"/>
          <w:b w:val="0"/>
          <w:color w:val="292B30"/>
          <w:sz w:val="20"/>
        </w:rPr>
        <w:t>建议项目组在国家/地区初筛后，由业务、财务、法务合规和运营共同评分。权重和阈值是本报告提供的讨论模板，可按企业风险偏好调整；它们不是东道国法定标准，也不能替代尽职调查。每项按1—5分评分，5分代表证据充分且风险可控。</w:t>
      </w:r>
    </w:p>
    <w:tbl>
      <w:tblPr>
        <w:tblStyle w:val="TableGrid"/>
        <w:tblW w:type="auto" w:w="0"/>
        <w:jc w:val="center"/>
        <w:tblLayout w:type="autofit"/>
        <w:tblLook w:firstColumn="1" w:firstRow="1" w:lastColumn="0" w:lastRow="0" w:noHBand="0" w:noVBand="1" w:val="04A0"/>
      </w:tblPr>
      <w:tblGrid>
        <w:gridCol w:w="2498"/>
        <w:gridCol w:w="2498"/>
        <w:gridCol w:w="2498"/>
        <w:gridCol w:w="2498"/>
      </w:tblGrid>
      <w:tr>
        <w:trPr>
          <w:tblHeader w:val="true"/>
        </w:trPr>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评分维度</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权重</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评分依据</w:t>
            </w:r>
          </w:p>
        </w:tc>
        <w:tc>
          <w:tcPr>
            <w:tcW w:type="dxa" w:w="2498"/>
            <w:shd w:fill="17264C"/>
            <w:vAlign w:val="center"/>
            <w:tcMar>
              <w:top w:w="100" w:type="dxa"/>
              <w:start w:w="100" w:type="dxa"/>
              <w:bottom w:w="100" w:type="dxa"/>
              <w:end w:w="100" w:type="dxa"/>
            </w:tcMar>
          </w:tcPr>
          <w:p>
            <w:pPr>
              <w:spacing w:after="0" w:before="0"/>
            </w:pPr>
            <w:r/>
            <w:r>
              <w:rPr>
                <w:rFonts w:ascii="Microsoft YaHei" w:hAnsi="Microsoft YaHei" w:eastAsia="Microsoft YaHei"/>
                <w:b/>
                <w:color w:val="FFFFFF"/>
                <w:sz w:val="18"/>
              </w:rPr>
              <w:t>项目评分（1—5）</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客户需求与商业验证</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订单/试点、渠道、客户集中度和续约/复购</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单位经济性与现金流</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20%</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毛利、资本强度、回款、利用率和盈亏平衡</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准入许可与技术合规</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股权/资本要求、牌照、数据/产品/出口管制</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供应链与选址适配</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关键投入、园区资格、能源/物流和替代来源</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资本效率与分期能力</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阶段性投入、超支控制、融资与政策依赖</w:t>
            </w:r>
          </w:p>
        </w:tc>
        <w:tc>
          <w:tcPr>
            <w:tcW w:type="dxa" w:w="249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r>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环境社会、治理与退出</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15%</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劳工/环境、合资安排、审计证据及退出路径</w:t>
            </w:r>
          </w:p>
        </w:tc>
        <w:tc>
          <w:tcPr>
            <w:tcW w:type="dxa" w:w="2498"/>
            <w:shd w:fill="F3F5F8"/>
            <w:vAlign w:val="center"/>
            <w:tcMar>
              <w:top w:w="95" w:type="dxa"/>
              <w:start w:w="100" w:type="dxa"/>
              <w:bottom w:w="95" w:type="dxa"/>
              <w:end w:w="100" w:type="dxa"/>
            </w:tcMar>
          </w:tcPr>
          <w:p>
            <w:pPr>
              <w:spacing w:after="0" w:before="0"/>
            </w:pPr>
            <w:r/>
            <w:r>
              <w:rPr>
                <w:rFonts w:ascii="Microsoft YaHei" w:hAnsi="Microsoft YaHei" w:eastAsia="Microsoft YaHei"/>
                <w:b w:val="0"/>
                <w:color w:val="292B30"/>
                <w:sz w:val="17"/>
              </w:rPr>
              <w:t>____</w:t>
            </w:r>
          </w:p>
        </w:tc>
      </w:tr>
    </w:tbl>
    <w:p>
      <w:pPr>
        <w:spacing w:after="140" w:line="307" w:lineRule="auto"/>
        <w:ind w:firstLine="403"/>
      </w:pPr>
      <w:r>
        <w:rPr>
          <w:rFonts w:ascii="Microsoft YaHei" w:hAnsi="Microsoft YaHei" w:eastAsia="Microsoft YaHei"/>
          <w:b w:val="0"/>
          <w:color w:val="292B30"/>
          <w:sz w:val="20"/>
        </w:rPr>
        <w:t>计算建议：加权得分＝Σ（单项评分×权重）÷5。可将低于60分设为暂缓，60—75分进入补充尽调，高于75分提交正式立项审议；若外资准入、关键许可、土地权属或资金来源存在未解决的否决性问题，不因总分较高而跳过先决条件。</w:t>
      </w:r>
    </w:p>
    <w:tbl>
      <w:tblPr>
        <w:tblW w:type="auto" w:w="0"/>
        <w:jc w:val="center"/>
        <w:tblLook w:firstColumn="1" w:firstRow="1" w:lastColumn="0" w:lastRow="0" w:noHBand="0" w:noVBand="1" w:val="04A0"/>
      </w:tblPr>
      <w:tblGrid>
        <w:gridCol w:w="9994"/>
      </w:tblGrid>
      <w:tr>
        <w:tc>
          <w:tcPr>
            <w:tcW w:type="dxa" w:w="9994"/>
            <w:shd w:fill="F3F5F8"/>
            <w:tcMar>
              <w:top w:w="160" w:type="dxa"/>
              <w:start w:w="200" w:type="dxa"/>
              <w:bottom w:w="160" w:type="dxa"/>
              <w:end w:w="200" w:type="dxa"/>
            </w:tcMar>
          </w:tcPr>
          <w:p>
            <w:pPr>
              <w:spacing w:after="60"/>
            </w:pPr>
            <w:r/>
            <w:r>
              <w:rPr>
                <w:rFonts w:ascii="Microsoft YaHei" w:hAnsi="Microsoft YaHei" w:eastAsia="Microsoft YaHei"/>
                <w:b/>
                <w:color w:val="E9562B"/>
                <w:sz w:val="18"/>
              </w:rPr>
              <w:t>投资决策使用提示</w:t>
            </w:r>
          </w:p>
          <w:p>
            <w:pPr>
              <w:spacing w:after="0" w:line="288" w:lineRule="auto"/>
            </w:pPr>
            <w:r>
              <w:rPr>
                <w:rFonts w:ascii="Microsoft YaHei" w:hAnsi="Microsoft YaHei" w:eastAsia="Microsoft YaHei"/>
                <w:b w:val="0"/>
                <w:color w:val="292B30"/>
                <w:sz w:val="20"/>
              </w:rPr>
              <w:t>本报告用于形成市场初筛和尽调议题清单，不构成法律、税务、审计或投资建议。涉及持股比例、最低资本、实缴期限、园区激励和行业许可的具体项目，应以投资地主管机关最新正式规则及书面批准为准。</w:t>
            </w:r>
          </w:p>
        </w:tc>
      </w:tr>
    </w:tbl>
    <w:sectPr w:rsidR="00FC693F" w:rsidRPr="0006063C" w:rsidSect="00034616">
      <w:headerReference w:type="default" r:id="rId9"/>
      <w:footerReference w:type="default" r:id="rId10"/>
      <w:pgSz w:w="12240" w:h="15840"/>
      <w:pgMar w:top="1037" w:right="1123" w:bottom="1037"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Microsoft YaHei" w:hAnsi="Microsoft YaHei" w:eastAsia="Microsoft YaHei"/>
        <w:b w:val="0"/>
        <w:color w:val="69717E"/>
        <w:sz w:val="16"/>
      </w:rPr>
      <w:t xml:space="preserve">上海乾桥禾融企业咨询有限公司  ·  2026年10月22日  ·  </w:t>
    </w:r>
    <w:r>
      <w:rPr>
        <w:rFonts w:ascii="Microsoft YaHei" w:hAnsi="Microsoft YaHei" w:eastAsia="Microsoft YaHei"/>
        <w:b w:val="0"/>
        <w:color w:val="69717E"/>
        <w:sz w:val="16"/>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Microsoft YaHei" w:hAnsi="Microsoft YaHei" w:eastAsia="Microsoft YaHei"/>
        <w:b/>
        <w:color w:val="17264C"/>
        <w:sz w:val="16"/>
      </w:rPr>
      <w:t>乾桥禾融  |  企业出海研究系列</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Microsoft YaHei" w:hAnsi="Microsoft YaHei" w:eastAsia="Microsoft YaHei"/>
      <w:color w:val="292B3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Microsoft YaHei" w:hAnsi="Microsoft YaHei" w:eastAsia="Microsoft YaHei"/>
      <w:b/>
      <w:bCs/>
      <w:color w:val="17264C"/>
      <w:sz w:val="34"/>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Microsoft YaHei" w:hAnsi="Microsoft YaHei" w:eastAsia="Microsoft YaHei"/>
      <w:b/>
      <w:bCs/>
      <w:color w:val="A86B4F"/>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Microsoft YaHei" w:hAnsi="Microsoft YaHei" w:eastAsia="Microsoft YaHei"/>
      <w:b/>
      <w:bCs/>
      <w:color w:val="E9562B"/>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www.stats.gov.cn/sj/zxfb/202602/t20260228_1962662.html" TargetMode="External"/><Relationship Id="rId13" Type="http://schemas.openxmlformats.org/officeDocument/2006/relationships/hyperlink" Target="https://www.mofcom.gov.cn/zfxxgk/gkml/art/2026/art_5135ff712b8f4bdc804374d2d29ff9f0.html" TargetMode="External"/><Relationship Id="rId14" Type="http://schemas.openxmlformats.org/officeDocument/2006/relationships/hyperlink" Target="https://www.ey.com/zh_cn/newsroom/2026/02/ey-releases-the-overview-of-china-outbound-investment-of-2025" TargetMode="External"/><Relationship Id="rId15" Type="http://schemas.openxmlformats.org/officeDocument/2006/relationships/hyperlink" Target="https://www.ey.com/content/dam/ey-unified-site/ey-com/zh-cn/insights/china-overseas-investment-network/documents/ey-overview-of-2025-china-outbound-investment-zh.pdf" TargetMode="External"/><Relationship Id="rId16" Type="http://schemas.openxmlformats.org/officeDocument/2006/relationships/hyperlink" Target="https://investasean.asean.org/asean-attracts-record-fdi-in-2025-amid-a-shifting-global-investment-landscape/" TargetMode="External"/><Relationship Id="rId17" Type="http://schemas.openxmlformats.org/officeDocument/2006/relationships/hyperlink" Target="https://unctad.org/news/global-investment-rises-6-16-trillion-development-gains-remain-uneven" TargetMode="External"/><Relationship Id="rId18" Type="http://schemas.openxmlformats.org/officeDocument/2006/relationships/hyperlink" Target="https://www.mofcom.gov.cn/zfxxgk/fdzdgknr/ztfl/tjsj/gwjjhztj/art/2026/art_708927a77336454da43ef9b9af84e06f.html" TargetMode="External"/><Relationship Id="rId19" Type="http://schemas.openxmlformats.org/officeDocument/2006/relationships/hyperlink" Target="https://fec.mofcom.gov.cn/article/zyfw/hybg/qtbg/202602/3959.html" TargetMode="External"/><Relationship Id="rId20" Type="http://schemas.openxmlformats.org/officeDocument/2006/relationships/hyperlink" Target="https://unctad.org/publication/business-e-commerce-sales-and-role-online-platforms" TargetMode="External"/><Relationship Id="rId21" Type="http://schemas.openxmlformats.org/officeDocument/2006/relationships/hyperlink" Target="https://unctad.org/system/files/official-document/der2024_overview_en.pdf" TargetMode="External"/><Relationship Id="rId22" Type="http://schemas.openxmlformats.org/officeDocument/2006/relationships/hyperlink" Target="https://www.gob.mx/se/acciones-y-programas/industria-manufacturera-maquiladora-y-de-servicios-de-exportacion-immex" TargetMode="External"/><Relationship Id="rId23" Type="http://schemas.openxmlformats.org/officeDocument/2006/relationships/hyperlink" Target="https://www.boi.go.th/index.php?page=setting_up_a_business" TargetMode="External"/><Relationship Id="rId24" Type="http://schemas.openxmlformats.org/officeDocument/2006/relationships/hyperlink" Target="https://www.paih.gov.pl/en/why_poland/investment_incentives/polish_investment_zone/" TargetMode="External"/><Relationship Id="rId25" Type="http://schemas.openxmlformats.org/officeDocument/2006/relationships/hyperlink" Target="https://www.mofcom.gov.cn/cms_files/filemanager/1077459795/attach/20255/b62b8a78eadd4f92898d27286fd5209b.pdf?fileName=2024%E5%B9%B4%E4%B8%AD%E5%9B%BD%E5%AF%B9%E5%A4%96%E7%9B%B4%E6%8E%A5%E6%8A%95%E8%B5%84%E7%BB%9F%E8%AE%A1%E5%85%AC%E6%8A%A5-%E4%B8%AD%E6%96%87%E9%83%A8%E5%88%8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中国企业海外消费品与跨境零售投资白皮书</dc:title>
  <dc:subject>中国企业海外直接投资与经营布局</dc:subject>
  <dc:creator>上海乾桥禾融企业咨询有限公司</dc:creator>
  <cp:keywords>ODI, 出海, 境外投资, 乾桥禾融</cp:keywords>
  <dc:description>generated by python-docx</dc:description>
  <cp:lastModifiedBy/>
  <cp:revision>1</cp:revision>
  <dcterms:created xsi:type="dcterms:W3CDTF">2013-12-23T23:15:00Z</dcterms:created>
  <dcterms:modified xsi:type="dcterms:W3CDTF">2013-12-23T23:15:00Z</dcterms:modified>
  <cp:category/>
</cp:coreProperties>
</file>