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Lines/>
        <w:spacing w:before="40" w:after="480"/>
      </w:pPr>
      <w:r>
        <w:drawing>
          <wp:inline xmlns:a="http://schemas.openxmlformats.org/drawingml/2006/main" xmlns:pic="http://schemas.openxmlformats.org/drawingml/2006/picture">
            <wp:extent cx="475488" cy="475488"/>
            <wp:docPr id="1" name="Picture 1"/>
            <wp:cNvGraphicFramePr>
              <a:graphicFrameLocks noChangeAspect="1"/>
            </wp:cNvGraphicFramePr>
            <a:graphic>
              <a:graphicData uri="http://schemas.openxmlformats.org/drawingml/2006/picture">
                <pic:pic>
                  <pic:nvPicPr>
                    <pic:cNvPr id="0" name="qianqiao-logo.png"/>
                    <pic:cNvPicPr/>
                  </pic:nvPicPr>
                  <pic:blipFill>
                    <a:blip r:embed="rId11"/>
                    <a:stretch>
                      <a:fillRect/>
                    </a:stretch>
                  </pic:blipFill>
                  <pic:spPr>
                    <a:xfrm>
                      <a:off x="0" y="0"/>
                      <a:ext cx="475488" cy="475488"/>
                    </a:xfrm>
                    <a:prstGeom prst="rect"/>
                  </pic:spPr>
                </pic:pic>
              </a:graphicData>
            </a:graphic>
          </wp:inline>
        </w:drawing>
      </w:r>
      <w:r>
        <w:rPr>
          <w:rFonts w:ascii="Microsoft YaHei" w:hAnsi="Microsoft YaHei" w:eastAsia="Microsoft YaHei"/>
          <w:b/>
          <w:color w:val="17264C"/>
          <w:sz w:val="18"/>
        </w:rPr>
        <w:t xml:space="preserve">   乾桥禾融研究系列  |  上海乾桥禾融企业咨询有限公司</w:t>
      </w:r>
    </w:p>
    <w:p>
      <w:pPr>
        <w:spacing w:before="80" w:after="160"/>
      </w:pPr>
      <w:r>
        <w:rPr>
          <w:rFonts w:ascii="Microsoft YaHei" w:hAnsi="Microsoft YaHei" w:eastAsia="Microsoft YaHei"/>
          <w:b/>
          <w:color w:val="E9562B"/>
          <w:sz w:val="17"/>
        </w:rPr>
        <w:t>QIANQIAO INSIGHT   /   行业研究   /   2026</w:t>
      </w:r>
    </w:p>
    <w:p>
      <w:pPr>
        <w:keepNext/>
        <w:keepLines/>
        <w:spacing w:before="40" w:after="160" w:line="259" w:lineRule="auto"/>
      </w:pPr>
      <w:r>
        <w:rPr>
          <w:rFonts w:ascii="Microsoft YaHei" w:hAnsi="Microsoft YaHei" w:eastAsia="Microsoft YaHei"/>
          <w:b/>
          <w:color w:val="17264C"/>
          <w:sz w:val="51"/>
        </w:rPr>
        <w:t>中国企业海外科技与数字服务投资白皮书</w:t>
      </w:r>
    </w:p>
    <w:p>
      <w:pPr>
        <w:keepNext/>
        <w:spacing w:after="220"/>
        <w:pBdr>
          <w:bottom w:val="single" w:sz="20" w:space="8" w:color="E9562B"/>
        </w:pBdr>
      </w:pPr>
      <w:r>
        <w:rPr>
          <w:rFonts w:ascii="Microsoft YaHei" w:hAnsi="Microsoft YaHei" w:eastAsia="Microsoft YaHei"/>
          <w:b w:val="0"/>
          <w:color w:val="A86B4F"/>
          <w:sz w:val="28"/>
        </w:rPr>
        <w:t>数据中心、云服务、软件与智能化业务的合规落点</w:t>
      </w:r>
    </w:p>
    <w:tbl>
      <w:tblPr>
        <w:tblW w:type="auto" w:w="0"/>
        <w:tblLook w:firstColumn="1" w:firstRow="1" w:lastColumn="0" w:lastRow="0" w:noHBand="0" w:noVBand="1" w:val="04A0"/>
      </w:tblPr>
      <w:tblGrid>
        <w:gridCol w:w="9994"/>
      </w:tblGrid>
      <w:tr>
        <w:tc>
          <w:tcPr>
            <w:tcW w:type="dxa" w:w="9994"/>
            <w:shd w:fill="F3F5F8"/>
            <w:tcMar>
              <w:top w:w="190" w:type="dxa"/>
              <w:start w:w="220" w:type="dxa"/>
              <w:bottom w:w="190" w:type="dxa"/>
              <w:end w:w="220" w:type="dxa"/>
            </w:tcMar>
          </w:tcPr>
          <w:p>
            <w:pPr>
              <w:spacing w:after="100"/>
            </w:pPr>
            <w:r/>
            <w:r>
              <w:rPr>
                <w:rFonts w:ascii="Microsoft YaHei" w:hAnsi="Microsoft YaHei" w:eastAsia="Microsoft YaHei"/>
                <w:b/>
                <w:color w:val="E9562B"/>
                <w:sz w:val="18"/>
              </w:rPr>
              <w:t>研究要点</w:t>
            </w:r>
          </w:p>
          <w:p>
            <w:pPr>
              <w:spacing w:after="0" w:line="295" w:lineRule="auto"/>
            </w:pPr>
            <w:r>
              <w:rPr>
                <w:rFonts w:ascii="Microsoft YaHei" w:hAnsi="Microsoft YaHei" w:eastAsia="Microsoft YaHei"/>
                <w:b w:val="0"/>
                <w:color w:val="292B30"/>
                <w:sz w:val="21"/>
              </w:rPr>
              <w:t>科技与数字服务出海呈现“轻资产软件服务”和“重资产算力/数据中心”并行。新设实体看似简单，实务上却涉及数据跨境、网络安全、牌照、云基础设施、本地采购与技术出口；投资前需区分市场拓展、数据处理、研发和算力建设四类路径。</w:t>
            </w:r>
          </w:p>
        </w:tc>
      </w:tr>
    </w:tbl>
    <w:p>
      <w:pPr>
        <w:spacing w:after="0"/>
      </w:pPr>
    </w:p>
    <w:tbl>
      <w:tblPr>
        <w:tblW w:type="auto" w:w="0"/>
        <w:jc w:val="center"/>
        <w:tblLayout w:type="fixed"/>
        <w:tblLook w:firstColumn="1" w:firstRow="1" w:lastColumn="0" w:lastRow="0" w:noHBand="0" w:noVBand="1" w:val="04A0"/>
      </w:tblPr>
      <w:tblGrid>
        <w:gridCol w:w="3331"/>
        <w:gridCol w:w="3331"/>
        <w:gridCol w:w="3331"/>
      </w:tblGrid>
      <w:tr>
        <w:tc>
          <w:tcPr>
            <w:tcW w:type="dxa" w:w="2995"/>
            <w:shd w:fill="F3F5F8"/>
            <w:tcMar>
              <w:top w:w="180" w:type="dxa"/>
              <w:start w:w="150" w:type="dxa"/>
              <w:bottom w:w="180" w:type="dxa"/>
              <w:end w:w="150" w:type="dxa"/>
            </w:tcMar>
          </w:tcPr>
          <w:p>
            <w:pPr>
              <w:spacing w:after="60"/>
              <w:jc w:val="center"/>
            </w:pPr>
            <w:r/>
            <w:r>
              <w:rPr>
                <w:rFonts w:ascii="Microsoft YaHei" w:hAnsi="Microsoft YaHei" w:eastAsia="Microsoft YaHei"/>
                <w:b/>
                <w:color w:val="17264C"/>
                <w:sz w:val="30"/>
              </w:rPr>
              <w:t>369亿元</w:t>
            </w:r>
          </w:p>
          <w:p>
            <w:pPr>
              <w:spacing w:after="40"/>
              <w:jc w:val="center"/>
            </w:pPr>
            <w:r>
              <w:rPr>
                <w:rFonts w:ascii="Microsoft YaHei" w:hAnsi="Microsoft YaHei" w:eastAsia="Microsoft YaHei"/>
                <w:b/>
                <w:color w:val="292B30"/>
                <w:sz w:val="17"/>
              </w:rPr>
              <w:t>2025年非金融类信息软件业 ODI</w:t>
            </w:r>
          </w:p>
          <w:p>
            <w:pPr>
              <w:spacing w:after="0"/>
              <w:jc w:val="center"/>
            </w:pPr>
            <w:r>
              <w:rPr>
                <w:rFonts w:ascii="Microsoft YaHei" w:hAnsi="Microsoft YaHei" w:eastAsia="Microsoft YaHei"/>
                <w:b w:val="0"/>
                <w:color w:val="69717E"/>
                <w:sz w:val="16"/>
              </w:rPr>
              <w:t>同比 -11.1%</w:t>
            </w:r>
          </w:p>
        </w:tc>
        <w:tc>
          <w:tcPr>
            <w:tcW w:type="dxa" w:w="2995"/>
            <w:shd w:fill="F3F5F8"/>
            <w:tcMar>
              <w:top w:w="180" w:type="dxa"/>
              <w:start w:w="150" w:type="dxa"/>
              <w:bottom w:w="180" w:type="dxa"/>
              <w:end w:w="150" w:type="dxa"/>
            </w:tcMar>
          </w:tcPr>
          <w:p>
            <w:pPr>
              <w:spacing w:after="60"/>
              <w:jc w:val="center"/>
            </w:pPr>
            <w:r/>
            <w:r>
              <w:rPr>
                <w:rFonts w:ascii="Microsoft YaHei" w:hAnsi="Microsoft YaHei" w:eastAsia="Microsoft YaHei"/>
                <w:b/>
                <w:color w:val="17264C"/>
                <w:sz w:val="30"/>
              </w:rPr>
              <w:t>1000亿美元</w:t>
            </w:r>
          </w:p>
          <w:p>
            <w:pPr>
              <w:spacing w:after="40"/>
              <w:jc w:val="center"/>
            </w:pPr>
            <w:r>
              <w:rPr>
                <w:rFonts w:ascii="Microsoft YaHei" w:hAnsi="Microsoft YaHei" w:eastAsia="Microsoft YaHei"/>
                <w:b/>
                <w:color w:val="292B30"/>
                <w:sz w:val="17"/>
              </w:rPr>
              <w:t>Rhodium统计的2025年中国海外绿地投资公告</w:t>
            </w:r>
          </w:p>
          <w:p>
            <w:pPr>
              <w:spacing w:after="0"/>
              <w:jc w:val="center"/>
            </w:pPr>
            <w:r>
              <w:rPr>
                <w:rFonts w:ascii="Microsoft YaHei" w:hAnsi="Microsoft YaHei" w:eastAsia="Microsoft YaHei"/>
                <w:b w:val="0"/>
                <w:color w:val="69717E"/>
                <w:sz w:val="16"/>
              </w:rPr>
              <w:t>矿产、数据中心和能源项目驱动</w:t>
            </w:r>
          </w:p>
        </w:tc>
        <w:tc>
          <w:tcPr>
            <w:tcW w:type="dxa" w:w="2995"/>
            <w:shd w:fill="F3F5F8"/>
            <w:tcMar>
              <w:top w:w="180" w:type="dxa"/>
              <w:start w:w="150" w:type="dxa"/>
              <w:bottom w:w="180" w:type="dxa"/>
              <w:end w:w="150" w:type="dxa"/>
            </w:tcMar>
          </w:tcPr>
          <w:p>
            <w:pPr>
              <w:spacing w:after="60"/>
              <w:jc w:val="center"/>
            </w:pPr>
            <w:r/>
            <w:r>
              <w:rPr>
                <w:rFonts w:ascii="Microsoft YaHei" w:hAnsi="Microsoft YaHei" w:eastAsia="Microsoft YaHei"/>
                <w:b/>
                <w:color w:val="17264C"/>
                <w:sz w:val="30"/>
              </w:rPr>
              <w:t>58,000家</w:t>
            </w:r>
          </w:p>
          <w:p>
            <w:pPr>
              <w:spacing w:after="40"/>
              <w:jc w:val="center"/>
            </w:pPr>
            <w:r>
              <w:rPr>
                <w:rFonts w:ascii="Microsoft YaHei" w:hAnsi="Microsoft YaHei" w:eastAsia="Microsoft YaHei"/>
                <w:b/>
                <w:color w:val="292B30"/>
                <w:sz w:val="17"/>
              </w:rPr>
              <w:t>2025年底中国境外企业数量</w:t>
            </w:r>
          </w:p>
          <w:p>
            <w:pPr>
              <w:spacing w:after="0"/>
              <w:jc w:val="center"/>
            </w:pPr>
            <w:r>
              <w:rPr>
                <w:rFonts w:ascii="Microsoft YaHei" w:hAnsi="Microsoft YaHei" w:eastAsia="Microsoft YaHei"/>
                <w:b w:val="0"/>
                <w:color w:val="69717E"/>
                <w:sz w:val="16"/>
              </w:rPr>
              <w:t>分布189个国家和地区</w:t>
            </w:r>
          </w:p>
        </w:tc>
      </w:tr>
    </w:tbl>
    <w:p>
      <w:pPr>
        <w:spacing w:after="0"/>
      </w:pPr>
    </w:p>
    <w:p>
      <w:pPr>
        <w:spacing w:before="180" w:after="60"/>
      </w:pPr>
      <w:r>
        <w:rPr>
          <w:rFonts w:ascii="Microsoft YaHei" w:hAnsi="Microsoft YaHei" w:eastAsia="Microsoft YaHei"/>
          <w:b w:val="0"/>
          <w:color w:val="69717E"/>
          <w:sz w:val="17"/>
        </w:rPr>
        <w:t>研究对象  /  中国企业境外直接投资及相关产业项目</w:t>
      </w:r>
    </w:p>
    <w:p>
      <w:r>
        <w:rPr>
          <w:rFonts w:ascii="Microsoft YaHei" w:hAnsi="Microsoft YaHei" w:eastAsia="Microsoft YaHei"/>
          <w:b w:val="0"/>
          <w:color w:val="69717E"/>
          <w:sz w:val="17"/>
        </w:rPr>
        <w:t>数据截点：截至 2026年10月22日 可查的公开资料；2025 年年度 ODI 采用三部门统计公报最终口径，较早发布的初步统计单独标注。</w:t>
      </w:r>
    </w:p>
    <w:p>
      <w:pPr>
        <w:pStyle w:val="Heading1"/>
        <w:keepNext/>
        <w:pageBreakBefore/>
      </w:pPr>
      <w:r>
        <w:rPr>
          <w:rFonts w:ascii="Microsoft YaHei" w:hAnsi="Microsoft YaHei" w:eastAsia="Microsoft YaHei"/>
          <w:b/>
          <w:color w:val="17264C"/>
          <w:sz w:val="34"/>
        </w:rPr>
        <w:t>一  核心判断与投资脉络</w:t>
      </w:r>
    </w:p>
    <w:p>
      <w:pPr>
        <w:pStyle w:val="ListBullet"/>
        <w:spacing w:after="80" w:line="283" w:lineRule="auto"/>
        <w:ind w:left="346" w:hanging="202"/>
      </w:pPr>
      <w:r>
        <w:rPr>
          <w:rFonts w:ascii="Microsoft YaHei" w:hAnsi="Microsoft YaHei" w:eastAsia="Microsoft YaHei"/>
          <w:b w:val="0"/>
          <w:color w:val="292B30"/>
          <w:sz w:val="19"/>
        </w:rPr>
        <w:t>2025年非金融类信息传输、软件和信息技术服务业 ODI 为369亿元人民币，同比下降11.1%；数字经济是官方描述的长期拓展方向，但不意味着该统计行业当年增长。</w:t>
      </w:r>
    </w:p>
    <w:p>
      <w:pPr>
        <w:pStyle w:val="ListBullet"/>
        <w:spacing w:after="80" w:line="283" w:lineRule="auto"/>
        <w:ind w:left="346" w:hanging="202"/>
      </w:pPr>
      <w:r>
        <w:rPr>
          <w:rFonts w:ascii="Microsoft YaHei" w:hAnsi="Microsoft YaHei" w:eastAsia="Microsoft YaHei"/>
          <w:b w:val="0"/>
          <w:color w:val="292B30"/>
          <w:sz w:val="19"/>
        </w:rPr>
        <w:t>Rhodium Group的交易级数据记录2025年中国企业新公告绿地投资1000亿美元，主要由矿业、数据中心和能源等资本密集型项目拉动；该口径与官方 ODI 总额不同。</w:t>
      </w:r>
    </w:p>
    <w:p>
      <w:pPr>
        <w:pStyle w:val="ListBullet"/>
        <w:spacing w:after="80" w:line="283" w:lineRule="auto"/>
        <w:ind w:left="346" w:hanging="202"/>
      </w:pPr>
      <w:r>
        <w:rPr>
          <w:rFonts w:ascii="Microsoft YaHei" w:hAnsi="Microsoft YaHei" w:eastAsia="Microsoft YaHei"/>
          <w:b w:val="0"/>
          <w:color w:val="292B30"/>
          <w:sz w:val="19"/>
        </w:rPr>
        <w:t>数据中心/云和 SaaS 服务的市场进入方案要把数据位置、跨境访问、客户合同、云许可和本地合作伙伴放到同一张合规地图中。</w:t>
      </w:r>
    </w:p>
    <w:tbl>
      <w:tblPr>
        <w:tblW w:type="auto" w:w="0"/>
        <w:jc w:val="center"/>
        <w:tblLook w:firstColumn="1" w:firstRow="1" w:lastColumn="0" w:lastRow="0" w:noHBand="0" w:noVBand="1" w:val="04A0"/>
      </w:tblPr>
      <w:tblGrid>
        <w:gridCol w:w="9994"/>
      </w:tblGrid>
      <w:tr>
        <w:tc>
          <w:tcPr>
            <w:tcW w:type="dxa" w:w="9994"/>
            <w:shd w:fill="FFF2EC"/>
            <w:tcMar>
              <w:top w:w="160" w:type="dxa"/>
              <w:start w:w="200" w:type="dxa"/>
              <w:bottom w:w="160" w:type="dxa"/>
              <w:end w:w="200" w:type="dxa"/>
            </w:tcMar>
          </w:tcPr>
          <w:p>
            <w:pPr>
              <w:spacing w:after="60"/>
            </w:pPr>
            <w:r/>
            <w:r>
              <w:rPr>
                <w:rFonts w:ascii="Microsoft YaHei" w:hAnsi="Microsoft YaHei" w:eastAsia="Microsoft YaHei"/>
                <w:b/>
                <w:color w:val="E9562B"/>
                <w:sz w:val="18"/>
              </w:rPr>
              <w:t>阅读提示</w:t>
            </w:r>
          </w:p>
          <w:p>
            <w:pPr>
              <w:spacing w:after="0" w:line="288" w:lineRule="auto"/>
            </w:pPr>
            <w:r>
              <w:rPr>
                <w:rFonts w:ascii="Microsoft YaHei" w:hAnsi="Microsoft YaHei" w:eastAsia="Microsoft YaHei"/>
                <w:b w:val="0"/>
                <w:color w:val="292B30"/>
                <w:sz w:val="20"/>
              </w:rPr>
              <w:t>本报告把官方 ODI 流量、并购公告、项目投资承诺和企业调查分开使用；公告计划额不等于已投入资本，东道国接收全球 FDI 也不等于中国来源 ODI。</w:t>
            </w:r>
          </w:p>
        </w:tc>
      </w:tr>
    </w:tbl>
    <w:p>
      <w:pPr>
        <w:pStyle w:val="Heading1"/>
        <w:keepNext/>
      </w:pPr>
      <w:r>
        <w:rPr>
          <w:rFonts w:ascii="Microsoft YaHei" w:hAnsi="Microsoft YaHei" w:eastAsia="Microsoft YaHei"/>
          <w:b/>
          <w:color w:val="17264C"/>
          <w:sz w:val="34"/>
        </w:rPr>
        <w:t>二  规模、结构与数据口径</w:t>
      </w:r>
    </w:p>
    <w:p>
      <w:pPr>
        <w:spacing w:after="140" w:line="307" w:lineRule="auto"/>
        <w:ind w:firstLine="403"/>
      </w:pPr>
      <w:r>
        <w:rPr>
          <w:rFonts w:ascii="Microsoft YaHei" w:hAnsi="Microsoft YaHei" w:eastAsia="Microsoft YaHei"/>
          <w:b w:val="0"/>
          <w:color w:val="292B30"/>
          <w:sz w:val="20"/>
        </w:rPr>
        <w:t>2025年非金融类信息传输、软件和信息技术服务业 ODI 为369亿元人民币、同比下降11.1%。官方年报覆盖全部行业并指出数字经济是拓展领域。Rhodium项目级交易数据库记录2025年中国企业宣布的绿地投资金额约1000亿美元，包含数据中心、矿业和能源等项目。两者分别是官方 ODI 与项目公告追踪，不应混同。</w:t>
      </w:r>
    </w:p>
    <w:p>
      <w:pPr>
        <w:spacing w:after="140" w:line="307" w:lineRule="auto"/>
        <w:ind w:firstLine="403"/>
      </w:pPr>
      <w:r>
        <w:rPr>
          <w:rFonts w:ascii="Microsoft YaHei" w:hAnsi="Microsoft YaHei" w:eastAsia="Microsoft YaHei"/>
          <w:b w:val="0"/>
          <w:color w:val="292B30"/>
          <w:sz w:val="20"/>
        </w:rPr>
        <w:t>2025年对外非金融信息传输、软件和信息技术服务业投资369亿元人民币，占非金融ODI约3.5%，同比下降11.1%；数值与云基础设施、研发、软件等活动混合，不能等同AI投资。IEA数据显示2025年全球数据中心电力需求增长17%，UNCTAD所统计43个经济体企业电子商务销售额2022年达27万亿美元，均提示需求扩张与能源/数字规则约束并存。</w:t>
      </w:r>
    </w:p>
    <w:tbl>
      <w:tblPr>
        <w:tblStyle w:val="TableGrid"/>
        <w:tblW w:type="auto" w:w="0"/>
        <w:jc w:val="center"/>
        <w:tblLayout w:type="autofit"/>
        <w:tblLook w:firstColumn="1" w:firstRow="1" w:lastColumn="0" w:lastRow="0" w:noHBand="0" w:noVBand="1" w:val="04A0"/>
      </w:tblPr>
      <w:tblGrid>
        <w:gridCol w:w="3331"/>
        <w:gridCol w:w="3331"/>
        <w:gridCol w:w="3331"/>
      </w:tblGrid>
      <w:tr>
        <w:trPr>
          <w:tblHeader w:val="true"/>
        </w:trPr>
        <w:tc>
          <w:tcPr>
            <w:tcW w:type="dxa" w:w="3331"/>
            <w:shd w:fill="17264C"/>
            <w:vAlign w:val="center"/>
            <w:tcMar>
              <w:top w:w="100" w:type="dxa"/>
              <w:start w:w="100" w:type="dxa"/>
              <w:bottom w:w="100" w:type="dxa"/>
              <w:end w:w="100" w:type="dxa"/>
            </w:tcMar>
          </w:tcPr>
          <w:p>
            <w:pPr>
              <w:spacing w:after="0" w:before="0"/>
            </w:pPr>
            <w:r/>
            <w:r>
              <w:rPr>
                <w:rFonts w:ascii="Microsoft YaHei" w:hAnsi="Microsoft YaHei" w:eastAsia="Microsoft YaHei"/>
                <w:b/>
                <w:color w:val="FFFFFF"/>
                <w:sz w:val="18"/>
              </w:rPr>
              <w:t>2025年非金融类行业</w:t>
            </w:r>
          </w:p>
        </w:tc>
        <w:tc>
          <w:tcPr>
            <w:tcW w:type="dxa" w:w="3331"/>
            <w:shd w:fill="17264C"/>
            <w:vAlign w:val="center"/>
            <w:tcMar>
              <w:top w:w="100" w:type="dxa"/>
              <w:start w:w="100" w:type="dxa"/>
              <w:bottom w:w="100" w:type="dxa"/>
              <w:end w:w="100" w:type="dxa"/>
            </w:tcMar>
          </w:tcPr>
          <w:p>
            <w:pPr>
              <w:spacing w:after="0" w:before="0"/>
            </w:pPr>
            <w:r/>
            <w:r>
              <w:rPr>
                <w:rFonts w:ascii="Microsoft YaHei" w:hAnsi="Microsoft YaHei" w:eastAsia="Microsoft YaHei"/>
                <w:b/>
                <w:color w:val="FFFFFF"/>
                <w:sz w:val="18"/>
              </w:rPr>
              <w:t>流量（亿元人民币）</w:t>
            </w:r>
          </w:p>
        </w:tc>
        <w:tc>
          <w:tcPr>
            <w:tcW w:type="dxa" w:w="3331"/>
            <w:shd w:fill="17264C"/>
            <w:vAlign w:val="center"/>
            <w:tcMar>
              <w:top w:w="100" w:type="dxa"/>
              <w:start w:w="100" w:type="dxa"/>
              <w:bottom w:w="100" w:type="dxa"/>
              <w:end w:w="100" w:type="dxa"/>
            </w:tcMar>
          </w:tcPr>
          <w:p>
            <w:pPr>
              <w:spacing w:after="0" w:before="0"/>
            </w:pPr>
            <w:r/>
            <w:r>
              <w:rPr>
                <w:rFonts w:ascii="Microsoft YaHei" w:hAnsi="Microsoft YaHei" w:eastAsia="Microsoft YaHei"/>
                <w:b/>
                <w:color w:val="FFFFFF"/>
                <w:sz w:val="18"/>
              </w:rPr>
              <w:t>同比</w:t>
            </w:r>
          </w:p>
        </w:tc>
      </w:tr>
      <w:tr>
        <w:tc>
          <w:tcPr>
            <w:tcW w:type="dxa" w:w="3331"/>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租赁和商务服务</w:t>
            </w:r>
          </w:p>
        </w:tc>
        <w:tc>
          <w:tcPr>
            <w:tcW w:type="dxa" w:w="3331"/>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2719</w:t>
            </w:r>
          </w:p>
        </w:tc>
        <w:tc>
          <w:tcPr>
            <w:tcW w:type="dxa" w:w="3331"/>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-5.6%</w:t>
            </w:r>
          </w:p>
        </w:tc>
      </w:tr>
      <w:tr>
        <w:tc>
          <w:tcPr>
            <w:tcW w:type="dxa" w:w="3331"/>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批发和零售</w:t>
            </w:r>
          </w:p>
        </w:tc>
        <w:tc>
          <w:tcPr>
            <w:tcW w:type="dxa" w:w="3331"/>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2555</w:t>
            </w:r>
          </w:p>
        </w:tc>
        <w:tc>
          <w:tcPr>
            <w:tcW w:type="dxa" w:w="3331"/>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+27.3%</w:t>
            </w:r>
          </w:p>
        </w:tc>
      </w:tr>
      <w:tr>
        <w:tc>
          <w:tcPr>
            <w:tcW w:type="dxa" w:w="3331"/>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制造业</w:t>
            </w:r>
          </w:p>
        </w:tc>
        <w:tc>
          <w:tcPr>
            <w:tcW w:type="dxa" w:w="3331"/>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2011</w:t>
            </w:r>
          </w:p>
        </w:tc>
        <w:tc>
          <w:tcPr>
            <w:tcW w:type="dxa" w:w="3331"/>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-4.6%</w:t>
            </w:r>
          </w:p>
        </w:tc>
      </w:tr>
      <w:tr>
        <w:tc>
          <w:tcPr>
            <w:tcW w:type="dxa" w:w="3331"/>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交通运输仓储</w:t>
            </w:r>
          </w:p>
        </w:tc>
        <w:tc>
          <w:tcPr>
            <w:tcW w:type="dxa" w:w="3331"/>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709</w:t>
            </w:r>
          </w:p>
        </w:tc>
        <w:tc>
          <w:tcPr>
            <w:tcW w:type="dxa" w:w="3331"/>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+34.8%</w:t>
            </w:r>
          </w:p>
        </w:tc>
      </w:tr>
      <w:tr>
        <w:tc>
          <w:tcPr>
            <w:tcW w:type="dxa" w:w="3331"/>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采矿业</w:t>
            </w:r>
          </w:p>
        </w:tc>
        <w:tc>
          <w:tcPr>
            <w:tcW w:type="dxa" w:w="3331"/>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801</w:t>
            </w:r>
          </w:p>
        </w:tc>
        <w:tc>
          <w:tcPr>
            <w:tcW w:type="dxa" w:w="3331"/>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-10.3%</w:t>
            </w:r>
          </w:p>
        </w:tc>
      </w:tr>
      <w:tr>
        <w:tc>
          <w:tcPr>
            <w:tcW w:type="dxa" w:w="3331"/>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信息软件服务</w:t>
            </w:r>
          </w:p>
        </w:tc>
        <w:tc>
          <w:tcPr>
            <w:tcW w:type="dxa" w:w="3331"/>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369</w:t>
            </w:r>
          </w:p>
        </w:tc>
        <w:tc>
          <w:tcPr>
            <w:tcW w:type="dxa" w:w="3331"/>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-11.1%</w:t>
            </w:r>
          </w:p>
        </w:tc>
      </w:tr>
    </w:tbl>
    <w:p>
      <w:pPr>
        <w:spacing w:before="60"/>
      </w:pPr>
      <w:r>
        <w:rPr>
          <w:rFonts w:ascii="Microsoft YaHei" w:hAnsi="Microsoft YaHei" w:eastAsia="Microsoft YaHei"/>
          <w:b w:val="0"/>
          <w:color w:val="69717E"/>
          <w:sz w:val="16"/>
        </w:rPr>
        <w:t>图表口径：国家统计局发布的非金融类对外直接投资行业分布。</w:t>
      </w:r>
    </w:p>
    <w:p>
      <w:pPr>
        <w:pStyle w:val="Heading1"/>
        <w:keepNext/>
      </w:pPr>
      <w:r>
        <w:rPr>
          <w:rFonts w:ascii="Microsoft YaHei" w:hAnsi="Microsoft YaHei" w:eastAsia="Microsoft YaHei"/>
          <w:b/>
          <w:color w:val="17264C"/>
          <w:sz w:val="34"/>
        </w:rPr>
        <w:t>三  市场机会与进入方式</w:t>
      </w:r>
    </w:p>
    <w:p>
      <w:pPr>
        <w:spacing w:after="140" w:line="307" w:lineRule="auto"/>
        <w:ind w:firstLine="403"/>
      </w:pPr>
      <w:r>
        <w:rPr>
          <w:rFonts w:ascii="Microsoft YaHei" w:hAnsi="Microsoft YaHei" w:eastAsia="Microsoft YaHei"/>
          <w:b w:val="0"/>
          <w:color w:val="292B30"/>
          <w:sz w:val="20"/>
        </w:rPr>
        <w:t>东盟和海湾地区在云服务、数据中心、数字支付、企业软件和智能制造解决方案方面有区域扩张机会；需核验本地数据、牌照、网络安全和政府采购要求。</w:t>
      </w:r>
    </w:p>
    <w:p>
      <w:pPr>
        <w:spacing w:after="140" w:line="307" w:lineRule="auto"/>
        <w:ind w:firstLine="403"/>
      </w:pPr>
      <w:r>
        <w:rPr>
          <w:rFonts w:ascii="Microsoft YaHei" w:hAnsi="Microsoft YaHei" w:eastAsia="Microsoft YaHei"/>
          <w:b w:val="0"/>
          <w:color w:val="292B30"/>
          <w:sz w:val="20"/>
        </w:rPr>
        <w:t>欧洲市场有成熟客户与合规体系，数字服务应尽早确认 GDPR、网络安全、AI相关规则、数据存储和供应链要求。</w:t>
      </w:r>
    </w:p>
    <w:p>
      <w:pPr>
        <w:spacing w:after="140" w:line="307" w:lineRule="auto"/>
        <w:ind w:firstLine="403"/>
      </w:pPr>
      <w:r>
        <w:rPr>
          <w:rFonts w:ascii="Microsoft YaHei" w:hAnsi="Microsoft YaHei" w:eastAsia="Microsoft YaHei"/>
          <w:b w:val="0"/>
          <w:color w:val="292B30"/>
          <w:sz w:val="20"/>
        </w:rPr>
        <w:t>美国市场技术客户和资本生态强，但敏感技术、关键数据、出口管制与投资审查风险明显提高，业务和技术路线需在进入前做边界判断。</w:t>
      </w:r>
    </w:p>
    <w:p>
      <w:pPr>
        <w:spacing w:after="140" w:line="307" w:lineRule="auto"/>
        <w:ind w:firstLine="403"/>
      </w:pPr>
      <w:r>
        <w:rPr>
          <w:rFonts w:ascii="Microsoft YaHei" w:hAnsi="Microsoft YaHei" w:eastAsia="Microsoft YaHei"/>
          <w:b w:val="0"/>
          <w:color w:val="292B30"/>
          <w:sz w:val="20"/>
        </w:rPr>
        <w:t>跨国 SaaS/云服务通常需要本地合同主体、税务/VAT判断、服务工单与收入确认设计，不能仅靠境外母公司开票长期经营。</w:t>
      </w:r>
    </w:p>
    <w:p>
      <w:pPr>
        <w:pStyle w:val="Heading1"/>
        <w:keepNext/>
      </w:pPr>
      <w:r>
        <w:rPr>
          <w:rFonts w:ascii="Microsoft YaHei" w:hAnsi="Microsoft YaHei" w:eastAsia="Microsoft YaHei"/>
          <w:b/>
          <w:color w:val="17264C"/>
          <w:sz w:val="34"/>
        </w:rPr>
        <w:t>重点市场准入与选址政策对照</w:t>
      </w:r>
    </w:p>
    <w:p>
      <w:pPr>
        <w:spacing w:after="140" w:line="307" w:lineRule="auto"/>
        <w:ind w:firstLine="403"/>
      </w:pPr>
      <w:r>
        <w:rPr>
          <w:rFonts w:ascii="Microsoft YaHei" w:hAnsi="Microsoft YaHei" w:eastAsia="Microsoft YaHei"/>
          <w:b w:val="0"/>
          <w:color w:val="292B30"/>
          <w:sz w:val="20"/>
        </w:rPr>
        <w:t>行业市场对照用于建立初筛清单。法定资本、最低实缴、外资股比和激励资格以项目主体、具体活动和最新官方规则为准；公司注册资本不等于投资促进项目的最低投资额。</w:t>
      </w:r>
    </w:p>
    <w:tbl>
      <w:tblPr>
        <w:tblStyle w:val="TableGrid"/>
        <w:tblW w:type="auto" w:w="0"/>
        <w:jc w:val="center"/>
        <w:tblLayout w:type="autofit"/>
        <w:tblLook w:firstColumn="1" w:firstRow="1" w:lastColumn="0" w:lastRow="0" w:noHBand="0" w:noVBand="1" w:val="04A0"/>
      </w:tblPr>
      <w:tblGrid>
        <w:gridCol w:w="4997"/>
        <w:gridCol w:w="4997"/>
      </w:tblGrid>
      <w:tr>
        <w:trPr>
          <w:tblHeader w:val="true"/>
        </w:trPr>
        <w:tc>
          <w:tcPr>
            <w:tcW w:type="dxa" w:w="4997"/>
            <w:shd w:fill="17264C"/>
            <w:vAlign w:val="center"/>
            <w:tcMar>
              <w:top w:w="100" w:type="dxa"/>
              <w:start w:w="100" w:type="dxa"/>
              <w:bottom w:w="100" w:type="dxa"/>
              <w:end w:w="100" w:type="dxa"/>
            </w:tcMar>
          </w:tcPr>
          <w:p>
            <w:pPr>
              <w:spacing w:after="0" w:before="0"/>
            </w:pPr>
            <w:r/>
            <w:r>
              <w:rPr>
                <w:rFonts w:ascii="Microsoft YaHei" w:hAnsi="Microsoft YaHei" w:eastAsia="Microsoft YaHei"/>
                <w:b/>
                <w:color w:val="FFFFFF"/>
                <w:sz w:val="18"/>
              </w:rPr>
              <w:t>代表市场（不超过10个）</w:t>
            </w:r>
          </w:p>
        </w:tc>
        <w:tc>
          <w:tcPr>
            <w:tcW w:type="dxa" w:w="4997"/>
            <w:shd w:fill="17264C"/>
            <w:vAlign w:val="center"/>
            <w:tcMar>
              <w:top w:w="100" w:type="dxa"/>
              <w:start w:w="100" w:type="dxa"/>
              <w:bottom w:w="100" w:type="dxa"/>
              <w:end w:w="100" w:type="dxa"/>
            </w:tcMar>
          </w:tcPr>
          <w:p>
            <w:pPr>
              <w:spacing w:after="0" w:before="0"/>
            </w:pPr>
            <w:r/>
            <w:r>
              <w:rPr>
                <w:rFonts w:ascii="Microsoft YaHei" w:hAnsi="Microsoft YaHei" w:eastAsia="Microsoft YaHei"/>
                <w:b/>
                <w:color w:val="FFFFFF"/>
                <w:sz w:val="18"/>
              </w:rPr>
              <w:t>准入、资本或选址政策关注点</w:t>
            </w:r>
          </w:p>
        </w:tc>
      </w:tr>
      <w:tr>
        <w:tc>
          <w:tcPr>
            <w:tcW w:type="dxa" w:w="4997"/>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新加坡</w:t>
            </w:r>
          </w:p>
        </w:tc>
        <w:tc>
          <w:tcPr>
            <w:tcW w:type="dxa" w:w="4997"/>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区域研发/总部与支付、通信牌照分层；数据、云与金融活动许可分别核验。</w:t>
            </w:r>
          </w:p>
        </w:tc>
      </w:tr>
      <w:tr>
        <w:tc>
          <w:tcPr>
            <w:tcW w:type="dxa" w:w="4997"/>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美国</w:t>
            </w:r>
          </w:p>
        </w:tc>
        <w:tc>
          <w:tcPr>
            <w:tcW w:type="dxa" w:w="4997"/>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无联邦统一注册资本底线；敏感技术/个人数据、关键基础设施交易可能触发 CFIUS，出口管制单独审查。</w:t>
            </w:r>
          </w:p>
        </w:tc>
      </w:tr>
      <w:tr>
        <w:tc>
          <w:tcPr>
            <w:tcW w:type="dxa" w:w="4997"/>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德国/欧盟</w:t>
            </w:r>
          </w:p>
        </w:tc>
        <w:tc>
          <w:tcPr>
            <w:tcW w:type="dxa" w:w="4997"/>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德国 GmbH EUR 25,000股本、登记前至少缴EUR 12,500；欧盟投资审查和数据规则形成共同合规基线。</w:t>
            </w:r>
          </w:p>
        </w:tc>
      </w:tr>
      <w:tr>
        <w:tc>
          <w:tcPr>
            <w:tcW w:type="dxa" w:w="4997"/>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马来西亚柔佛</w:t>
            </w:r>
          </w:p>
        </w:tc>
        <w:tc>
          <w:tcPr>
            <w:tcW w:type="dxa" w:w="4997"/>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JS-SEZ指定旗舰区对AI、量子、医疗器械等合格项目提供专项税惠，需满足位置和投资门槛。</w:t>
            </w:r>
          </w:p>
        </w:tc>
      </w:tr>
      <w:tr>
        <w:tc>
          <w:tcPr>
            <w:tcW w:type="dxa" w:w="4997"/>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印度尼西亚</w:t>
            </w:r>
          </w:p>
        </w:tc>
        <w:tc>
          <w:tcPr>
            <w:tcW w:type="dxa" w:w="4997"/>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PMA实缴资本新规则与数字基础设施投资计划并行；通信、数据中心、金融科技许可按业务核验。</w:t>
            </w:r>
          </w:p>
        </w:tc>
      </w:tr>
    </w:tbl>
    <w:p>
      <w:pPr>
        <w:pStyle w:val="Heading1"/>
        <w:keepNext/>
      </w:pPr>
      <w:r>
        <w:rPr>
          <w:rFonts w:ascii="Microsoft YaHei" w:hAnsi="Microsoft YaHei" w:eastAsia="Microsoft YaHei"/>
          <w:b/>
          <w:color w:val="17264C"/>
          <w:sz w:val="34"/>
        </w:rPr>
        <w:t>四  代表性项目观察</w:t>
      </w:r>
    </w:p>
    <w:p>
      <w:pPr>
        <w:spacing w:after="140" w:line="307" w:lineRule="auto"/>
        <w:ind w:firstLine="403"/>
      </w:pPr>
      <w:r>
        <w:rPr>
          <w:rFonts w:ascii="Microsoft YaHei" w:hAnsi="Microsoft YaHei" w:eastAsia="Microsoft YaHei"/>
          <w:b w:val="0"/>
          <w:color w:val="292B30"/>
          <w:sz w:val="20"/>
        </w:rPr>
        <w:t>项目级数据库显示，中国企业2025年海外绿地项目约1000亿美元，增长主要来自矿业、数据中心和能源等资本密集型项目。这提供了数字基础设施的方向性信号；本册不把数据库中尚未核实或未披露企业名称的项目写成具体已落地案例。</w:t>
      </w:r>
    </w:p>
    <w:p>
      <w:pPr>
        <w:pStyle w:val="Heading2"/>
        <w:keepNext/>
      </w:pPr>
      <w:r>
        <w:rPr>
          <w:rFonts w:ascii="Microsoft YaHei" w:hAnsi="Microsoft YaHei" w:eastAsia="Microsoft YaHei"/>
          <w:b/>
          <w:color w:val="A86B4F"/>
          <w:sz w:val="24"/>
        </w:rPr>
        <w:t>代表项目观察</w:t>
      </w:r>
    </w:p>
    <w:p>
      <w:pPr>
        <w:spacing w:after="140" w:line="307" w:lineRule="auto"/>
        <w:ind w:firstLine="403"/>
      </w:pPr>
      <w:r>
        <w:rPr>
          <w:rFonts w:ascii="Microsoft YaHei" w:hAnsi="Microsoft YaHei" w:eastAsia="Microsoft YaHei"/>
          <w:b w:val="0"/>
          <w:color w:val="292B30"/>
          <w:sz w:val="20"/>
        </w:rPr>
        <w:t>以下项目区分股权投资、建设投资、许可合作与项目规划。金额均按企业或政府公开披露口径记录；未披露的明确标记，规划额不代表已投金额。项目状态以来源公布日期为准，重大交易需再核验最新进展。</w:t>
      </w:r>
    </w:p>
    <w:tbl>
      <w:tblPr>
        <w:tblStyle w:val="TableGrid"/>
        <w:tblW w:type="auto" w:w="0"/>
        <w:jc w:val="center"/>
        <w:tblLayout w:type="autofit"/>
        <w:tblLook w:firstColumn="1" w:firstRow="1" w:lastColumn="0" w:lastRow="0" w:noHBand="0" w:noVBand="1" w:val="04A0"/>
      </w:tblPr>
      <w:tblGrid>
        <w:gridCol w:w="2498"/>
        <w:gridCol w:w="2498"/>
        <w:gridCol w:w="2498"/>
        <w:gridCol w:w="2498"/>
      </w:tblGrid>
      <w:tr>
        <w:trPr>
          <w:tblHeader w:val="true"/>
        </w:trPr>
        <w:tc>
          <w:tcPr>
            <w:tcW w:type="dxa" w:w="2498"/>
            <w:shd w:fill="17264C"/>
            <w:vAlign w:val="center"/>
            <w:tcMar>
              <w:top w:w="100" w:type="dxa"/>
              <w:start w:w="100" w:type="dxa"/>
              <w:bottom w:w="100" w:type="dxa"/>
              <w:end w:w="100" w:type="dxa"/>
            </w:tcMar>
          </w:tcPr>
          <w:p>
            <w:pPr>
              <w:spacing w:after="0" w:before="0"/>
            </w:pPr>
            <w:r/>
            <w:r>
              <w:rPr>
                <w:rFonts w:ascii="Microsoft YaHei" w:hAnsi="Microsoft YaHei" w:eastAsia="Microsoft YaHei"/>
                <w:b/>
                <w:color w:val="FFFFFF"/>
                <w:sz w:val="18"/>
              </w:rPr>
              <w:t>项目与所在地</w:t>
            </w:r>
          </w:p>
        </w:tc>
        <w:tc>
          <w:tcPr>
            <w:tcW w:type="dxa" w:w="2498"/>
            <w:shd w:fill="17264C"/>
            <w:vAlign w:val="center"/>
            <w:tcMar>
              <w:top w:w="100" w:type="dxa"/>
              <w:start w:w="100" w:type="dxa"/>
              <w:bottom w:w="100" w:type="dxa"/>
              <w:end w:w="100" w:type="dxa"/>
            </w:tcMar>
          </w:tcPr>
          <w:p>
            <w:pPr>
              <w:spacing w:after="0" w:before="0"/>
            </w:pPr>
            <w:r/>
            <w:r>
              <w:rPr>
                <w:rFonts w:ascii="Microsoft YaHei" w:hAnsi="Microsoft YaHei" w:eastAsia="Microsoft YaHei"/>
                <w:b/>
                <w:color w:val="FFFFFF"/>
                <w:sz w:val="18"/>
              </w:rPr>
              <w:t>投资方与产业环节</w:t>
            </w:r>
          </w:p>
        </w:tc>
        <w:tc>
          <w:tcPr>
            <w:tcW w:type="dxa" w:w="2498"/>
            <w:shd w:fill="17264C"/>
            <w:vAlign w:val="center"/>
            <w:tcMar>
              <w:top w:w="100" w:type="dxa"/>
              <w:start w:w="100" w:type="dxa"/>
              <w:bottom w:w="100" w:type="dxa"/>
              <w:end w:w="100" w:type="dxa"/>
            </w:tcMar>
          </w:tcPr>
          <w:p>
            <w:pPr>
              <w:spacing w:after="0" w:before="0"/>
            </w:pPr>
            <w:r/>
            <w:r>
              <w:rPr>
                <w:rFonts w:ascii="Microsoft YaHei" w:hAnsi="Microsoft YaHei" w:eastAsia="Microsoft YaHei"/>
                <w:b/>
                <w:color w:val="FFFFFF"/>
                <w:sz w:val="18"/>
              </w:rPr>
              <w:t>公开金额与项目阶段</w:t>
            </w:r>
          </w:p>
        </w:tc>
        <w:tc>
          <w:tcPr>
            <w:tcW w:type="dxa" w:w="2498"/>
            <w:shd w:fill="17264C"/>
            <w:vAlign w:val="center"/>
            <w:tcMar>
              <w:top w:w="100" w:type="dxa"/>
              <w:start w:w="100" w:type="dxa"/>
              <w:bottom w:w="100" w:type="dxa"/>
              <w:end w:w="100" w:type="dxa"/>
            </w:tcMar>
          </w:tcPr>
          <w:p>
            <w:pPr>
              <w:spacing w:after="0" w:before="0"/>
            </w:pPr>
            <w:r/>
            <w:r>
              <w:rPr>
                <w:rFonts w:ascii="Microsoft YaHei" w:hAnsi="Microsoft YaHei" w:eastAsia="Microsoft YaHei"/>
                <w:b/>
                <w:color w:val="FFFFFF"/>
                <w:sz w:val="18"/>
              </w:rPr>
              <w:t>可核验的投资观察</w:t>
            </w:r>
          </w:p>
        </w:tc>
      </w:tr>
      <w:tr>
        <w:tc>
          <w:tcPr>
            <w:tcW w:type="dxa" w:w="249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沙特利雅得｜Lenovo—Alat智能设备及服务器制造基地</w:t>
            </w:r>
          </w:p>
        </w:tc>
        <w:tc>
          <w:tcPr>
            <w:tcW w:type="dxa" w:w="249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联想；智能设备、服务器、区域总部</w:t>
            </w:r>
          </w:p>
        </w:tc>
        <w:tc>
          <w:tcPr>
            <w:tcW w:type="dxa" w:w="249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US$2bn可转债投资已完成交割；工厂2025年开工，计划2026年生产。</w:t>
            </w:r>
          </w:p>
        </w:tc>
        <w:tc>
          <w:tcPr>
            <w:tcW w:type="dxa" w:w="249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产业数字化/服务器供给与生产基地结合；仍需核验实际产能、区域销售和补贴履约。</w:t>
            </w:r>
          </w:p>
        </w:tc>
      </w:tr>
      <w:tr>
        <w:tc>
          <w:tcPr>
            <w:tcW w:type="dxa" w:w="2498"/>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澳大利亚墨尔本｜汇付支付区域技术与商户总部</w:t>
            </w:r>
          </w:p>
        </w:tc>
        <w:tc>
          <w:tcPr>
            <w:tcW w:type="dxa" w:w="2498"/>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汇付天下；支付科技</w:t>
            </w:r>
          </w:p>
        </w:tc>
        <w:tc>
          <w:tcPr>
            <w:tcW w:type="dxa" w:w="2498"/>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2025年设立澳洲区域总部；州政府未披露资本额。</w:t>
            </w:r>
          </w:p>
        </w:tc>
        <w:tc>
          <w:tcPr>
            <w:tcW w:type="dxa" w:w="2498"/>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视为市场进入和运营平台案例，支付牌照与客户资金许可单独核实。</w:t>
            </w:r>
          </w:p>
        </w:tc>
      </w:tr>
      <w:tr>
        <w:tc>
          <w:tcPr>
            <w:tcW w:type="dxa" w:w="249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新加坡｜中资云服务和区域研发中心项目</w:t>
            </w:r>
          </w:p>
        </w:tc>
        <w:tc>
          <w:tcPr>
            <w:tcW w:type="dxa" w:w="249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多家企业；云、SaaS、AI研发</w:t>
            </w:r>
          </w:p>
        </w:tc>
        <w:tc>
          <w:tcPr>
            <w:tcW w:type="dxa" w:w="249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各公司项目资本额按披露核实；不把主权云/数据中心市场总投资归因于单一中资主体。</w:t>
            </w:r>
          </w:p>
        </w:tc>
        <w:tc>
          <w:tcPr>
            <w:tcW w:type="dxa" w:w="249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跟踪实际员工、客户合同、数据区域、云许可和机房/电力安排。</w:t>
            </w:r>
          </w:p>
        </w:tc>
      </w:tr>
    </w:tbl>
    <w:p>
      <w:pPr>
        <w:pStyle w:val="Heading1"/>
        <w:keepNext/>
      </w:pPr>
      <w:r>
        <w:rPr>
          <w:rFonts w:ascii="Microsoft YaHei" w:hAnsi="Microsoft YaHei" w:eastAsia="Microsoft YaHei"/>
          <w:b/>
          <w:color w:val="17264C"/>
          <w:sz w:val="34"/>
        </w:rPr>
        <w:t>五  重点合规与执行风险</w:t>
      </w:r>
    </w:p>
    <w:p>
      <w:pPr>
        <w:pStyle w:val="ListBullet"/>
        <w:spacing w:after="80" w:line="283" w:lineRule="auto"/>
        <w:ind w:left="346" w:hanging="202"/>
      </w:pPr>
      <w:r>
        <w:rPr>
          <w:rFonts w:ascii="Microsoft YaHei" w:hAnsi="Microsoft YaHei" w:eastAsia="Microsoft YaHei"/>
          <w:b w:val="0"/>
          <w:color w:val="292B30"/>
          <w:sz w:val="19"/>
        </w:rPr>
        <w:t>数据：个人信息、重要/敏感数据、数据本地化、跨境传输评估、云托管和政府客户的访问控制。</w:t>
      </w:r>
    </w:p>
    <w:p>
      <w:pPr>
        <w:pStyle w:val="ListBullet"/>
        <w:spacing w:after="80" w:line="283" w:lineRule="auto"/>
        <w:ind w:left="346" w:hanging="202"/>
      </w:pPr>
      <w:r>
        <w:rPr>
          <w:rFonts w:ascii="Microsoft YaHei" w:hAnsi="Microsoft YaHei" w:eastAsia="Microsoft YaHei"/>
          <w:b w:val="0"/>
          <w:color w:val="292B30"/>
          <w:sz w:val="19"/>
        </w:rPr>
        <w:t>技术：源代码与算法授权、出口管制、知识产权归属、开源软件许可和研发成果跨境归属。</w:t>
      </w:r>
    </w:p>
    <w:p>
      <w:pPr>
        <w:pStyle w:val="ListBullet"/>
        <w:spacing w:after="80" w:line="283" w:lineRule="auto"/>
        <w:ind w:left="346" w:hanging="202"/>
      </w:pPr>
      <w:r>
        <w:rPr>
          <w:rFonts w:ascii="Microsoft YaHei" w:hAnsi="Microsoft YaHei" w:eastAsia="Microsoft YaHei"/>
          <w:b w:val="0"/>
          <w:color w:val="292B30"/>
          <w:sz w:val="19"/>
        </w:rPr>
        <w:t>基础设施：数据中心土地、能源、冷却用水、并网、设备进口和云服务资质可能是核心投资成本。</w:t>
      </w:r>
    </w:p>
    <w:p>
      <w:pPr>
        <w:pStyle w:val="ListBullet"/>
        <w:spacing w:after="80" w:line="283" w:lineRule="auto"/>
        <w:ind w:left="346" w:hanging="202"/>
      </w:pPr>
      <w:r>
        <w:rPr>
          <w:rFonts w:ascii="Microsoft YaHei" w:hAnsi="Microsoft YaHei" w:eastAsia="Microsoft YaHei"/>
          <w:b w:val="0"/>
          <w:color w:val="292B30"/>
          <w:sz w:val="19"/>
        </w:rPr>
        <w:t>商业运营：各国永久机构、数字服务税/VAT、员工常设机构风险、平台责任和本地消费/消费者保护要求。</w:t>
      </w:r>
    </w:p>
    <w:p>
      <w:pPr>
        <w:pStyle w:val="Heading1"/>
        <w:keepNext/>
      </w:pPr>
      <w:r>
        <w:rPr>
          <w:rFonts w:ascii="Microsoft YaHei" w:hAnsi="Microsoft YaHei" w:eastAsia="Microsoft YaHei"/>
          <w:b/>
          <w:color w:val="17264C"/>
          <w:sz w:val="34"/>
        </w:rPr>
        <w:t>六  投资启示</w:t>
      </w:r>
    </w:p>
    <w:p>
      <w:pPr>
        <w:pStyle w:val="ListBullet"/>
        <w:spacing w:after="80" w:line="283" w:lineRule="auto"/>
        <w:ind w:left="346" w:hanging="202"/>
      </w:pPr>
      <w:r>
        <w:rPr>
          <w:rFonts w:ascii="Microsoft YaHei" w:hAnsi="Microsoft YaHei" w:eastAsia="Microsoft YaHei"/>
          <w:b w:val="0"/>
          <w:color w:val="292B30"/>
          <w:sz w:val="19"/>
        </w:rPr>
        <w:t>把目标市场拆为销售验证、合规准入、试点运营和规模化投资四个阶段，先验证需求与单位经济性，再承诺固定资产和长期租赁。</w:t>
      </w:r>
    </w:p>
    <w:p>
      <w:pPr>
        <w:pStyle w:val="ListBullet"/>
        <w:spacing w:after="80" w:line="283" w:lineRule="auto"/>
        <w:ind w:left="346" w:hanging="202"/>
      </w:pPr>
      <w:r>
        <w:rPr>
          <w:rFonts w:ascii="Microsoft YaHei" w:hAnsi="Microsoft YaHei" w:eastAsia="Microsoft YaHei"/>
          <w:b w:val="0"/>
          <w:color w:val="292B30"/>
          <w:sz w:val="19"/>
        </w:rPr>
        <w:t>对股权限制、许可、最低资本/实缴、园区资格、补贴期限与追回条件建立先决条件清单；将政策优惠按“已批准/可申请/尚未确认”分层计入模型。</w:t>
      </w:r>
    </w:p>
    <w:p>
      <w:pPr>
        <w:pStyle w:val="ListBullet"/>
        <w:spacing w:after="80" w:line="283" w:lineRule="auto"/>
        <w:ind w:left="346" w:hanging="202"/>
      </w:pPr>
      <w:r>
        <w:rPr>
          <w:rFonts w:ascii="Microsoft YaHei" w:hAnsi="Microsoft YaHei" w:eastAsia="Microsoft YaHei"/>
          <w:b w:val="0"/>
          <w:color w:val="292B30"/>
          <w:sz w:val="19"/>
        </w:rPr>
        <w:t>对供应商、本地化、原产地、数据/技术、能源和人才设定投资闸门与备选方案，并将汇率、税务、融资与退出情景纳入敏感性分析。</w:t>
      </w:r>
    </w:p>
    <w:p>
      <w:pPr>
        <w:pStyle w:val="ListBullet"/>
        <w:spacing w:after="80" w:line="283" w:lineRule="auto"/>
        <w:ind w:left="346" w:hanging="202"/>
      </w:pPr>
      <w:r>
        <w:rPr>
          <w:rFonts w:ascii="Microsoft YaHei" w:hAnsi="Microsoft YaHei" w:eastAsia="Microsoft YaHei"/>
          <w:b w:val="0"/>
          <w:color w:val="292B30"/>
          <w:sz w:val="19"/>
        </w:rPr>
        <w:t>在境内 ODI 审批、境外架构、资金路径、公司设立开户、关联交易及持续审计之间建立一致的项目治理和证据链。</w:t>
      </w:r>
    </w:p>
    <w:p>
      <w:pPr>
        <w:pStyle w:val="Heading1"/>
        <w:keepNext/>
      </w:pPr>
      <w:r>
        <w:rPr>
          <w:rFonts w:ascii="Microsoft YaHei" w:hAnsi="Microsoft YaHei" w:eastAsia="Microsoft YaHei"/>
          <w:b/>
          <w:color w:val="17264C"/>
          <w:sz w:val="34"/>
        </w:rPr>
        <w:t>行业专题  产业链投资逻辑与商业模型</w:t>
      </w:r>
    </w:p>
    <w:p>
      <w:pPr>
        <w:spacing w:after="140" w:line="307" w:lineRule="auto"/>
        <w:ind w:firstLine="403"/>
      </w:pPr>
      <w:r>
        <w:rPr>
          <w:rFonts w:ascii="Microsoft YaHei" w:hAnsi="Microsoft YaHei" w:eastAsia="Microsoft YaHei"/>
          <w:b w:val="0"/>
          <w:color w:val="292B30"/>
          <w:sz w:val="20"/>
        </w:rPr>
        <w:t>科技数字投资要拆分SaaS订阅、定制开发、云服务、数据中心和AI算力，五类业务的资本强度、牌照、数据流和客户获取方式差异明显。软件业务的核心指标是客户获取成本、续费率、毛利率和应收账款周期；数据中心则看电力利用率、机柜/算力上架率、PUE、资本成本、租约年限与电价对冲。不要用软件公司的轻资产倍数评估重资产基础设施，也不要把宣布的算力容量视作已签约收入。</w:t>
      </w:r>
    </w:p>
    <w:p>
      <w:pPr>
        <w:spacing w:after="140" w:line="307" w:lineRule="auto"/>
        <w:ind w:firstLine="403"/>
      </w:pPr>
      <w:r>
        <w:rPr>
          <w:rFonts w:ascii="Microsoft YaHei" w:hAnsi="Microsoft YaHei" w:eastAsia="Microsoft YaHei"/>
          <w:b w:val="0"/>
          <w:color w:val="292B30"/>
          <w:sz w:val="20"/>
        </w:rPr>
        <w:t>跨境架构需说明谁与客户签约、谁控制数据、谁提供云资源、谁承担网络安全责任以及代码/模型知识产权归属。把个人信息、重要数据、行业监管数据、跨境访问、云服务供应商和分包商逐一映射到国家。金融支付、通信和云托管可能分别需要牌照；数据驻留承诺与集团集中运维之间的冲突要在销售合同签订前解决。</w:t>
      </w:r>
    </w:p>
    <w:tbl>
      <w:tblPr>
        <w:tblStyle w:val="TableGrid"/>
        <w:tblW w:type="auto" w:w="0"/>
        <w:jc w:val="center"/>
        <w:tblLayout w:type="autofit"/>
        <w:tblLook w:firstColumn="1" w:firstRow="1" w:lastColumn="0" w:lastRow="0" w:noHBand="0" w:noVBand="1" w:val="04A0"/>
      </w:tblPr>
      <w:tblGrid>
        <w:gridCol w:w="4997"/>
        <w:gridCol w:w="4997"/>
      </w:tblGrid>
      <w:tr>
        <w:trPr>
          <w:tblHeader w:val="true"/>
        </w:trPr>
        <w:tc>
          <w:tcPr>
            <w:tcW w:type="dxa" w:w="4997"/>
            <w:shd w:fill="17264C"/>
            <w:vAlign w:val="center"/>
            <w:tcMar>
              <w:top w:w="100" w:type="dxa"/>
              <w:start w:w="100" w:type="dxa"/>
              <w:bottom w:w="100" w:type="dxa"/>
              <w:end w:w="100" w:type="dxa"/>
            </w:tcMar>
          </w:tcPr>
          <w:p>
            <w:pPr>
              <w:spacing w:after="0" w:before="0"/>
            </w:pPr>
            <w:r/>
            <w:r>
              <w:rPr>
                <w:rFonts w:ascii="Microsoft YaHei" w:hAnsi="Microsoft YaHei" w:eastAsia="Microsoft YaHei"/>
                <w:b/>
                <w:color w:val="FFFFFF"/>
                <w:sz w:val="18"/>
              </w:rPr>
              <w:t>投委会指标</w:t>
            </w:r>
          </w:p>
        </w:tc>
        <w:tc>
          <w:tcPr>
            <w:tcW w:type="dxa" w:w="4997"/>
            <w:shd w:fill="17264C"/>
            <w:vAlign w:val="center"/>
            <w:tcMar>
              <w:top w:w="100" w:type="dxa"/>
              <w:start w:w="100" w:type="dxa"/>
              <w:bottom w:w="100" w:type="dxa"/>
              <w:end w:w="100" w:type="dxa"/>
            </w:tcMar>
          </w:tcPr>
          <w:p>
            <w:pPr>
              <w:spacing w:after="0" w:before="0"/>
            </w:pPr>
            <w:r/>
            <w:r>
              <w:rPr>
                <w:rFonts w:ascii="Microsoft YaHei" w:hAnsi="Microsoft YaHei" w:eastAsia="Microsoft YaHei"/>
                <w:b/>
                <w:color w:val="FFFFFF"/>
                <w:sz w:val="18"/>
              </w:rPr>
              <w:t>建议在立项/投后持续观察</w:t>
            </w:r>
          </w:p>
        </w:tc>
      </w:tr>
      <w:tr>
        <w:tc>
          <w:tcPr>
            <w:tcW w:type="dxa" w:w="4997"/>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需求与现金流</w:t>
            </w:r>
          </w:p>
        </w:tc>
        <w:tc>
          <w:tcPr>
            <w:tcW w:type="dxa" w:w="4997"/>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客户合同/订单覆盖、回款周期、单位经济性与下行情景</w:t>
            </w:r>
          </w:p>
        </w:tc>
      </w:tr>
      <w:tr>
        <w:tc>
          <w:tcPr>
            <w:tcW w:type="dxa" w:w="4997"/>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资本与进度</w:t>
            </w:r>
          </w:p>
        </w:tc>
        <w:tc>
          <w:tcPr>
            <w:tcW w:type="dxa" w:w="4997"/>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预算偏差、许可/建设里程碑、实际出资与产能爬坡</w:t>
            </w:r>
          </w:p>
        </w:tc>
      </w:tr>
      <w:tr>
        <w:tc>
          <w:tcPr>
            <w:tcW w:type="dxa" w:w="4997"/>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合规与韧性</w:t>
            </w:r>
          </w:p>
        </w:tc>
        <w:tc>
          <w:tcPr>
            <w:tcW w:type="dxa" w:w="4997"/>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准入许可、供应链/原产地、环境社会和退出触发条件</w:t>
            </w:r>
          </w:p>
        </w:tc>
      </w:tr>
    </w:tbl>
    <w:p>
      <w:pPr>
        <w:pStyle w:val="Heading1"/>
        <w:keepNext/>
      </w:pPr>
      <w:r>
        <w:rPr>
          <w:rFonts w:ascii="Microsoft YaHei" w:hAnsi="Microsoft YaHei" w:eastAsia="Microsoft YaHei"/>
          <w:b/>
          <w:color w:val="17264C"/>
          <w:sz w:val="34"/>
        </w:rPr>
        <w:t>行业专题  投资阶段与核心风险指标</w:t>
      </w:r>
    </w:p>
    <w:p>
      <w:pPr>
        <w:spacing w:after="140" w:line="307" w:lineRule="auto"/>
        <w:ind w:firstLine="403"/>
      </w:pPr>
      <w:r>
        <w:rPr>
          <w:rFonts w:ascii="Microsoft YaHei" w:hAnsi="Microsoft YaHei" w:eastAsia="Microsoft YaHei"/>
          <w:b w:val="0"/>
          <w:color w:val="292B30"/>
          <w:sz w:val="20"/>
        </w:rPr>
        <w:t>采用“客户试点—本地实体/合规评估—区域扩张—基础设施投入”的递进路径。前期尽量以客户合同、云服务或合作伙伴验证需求，再决定是否建设数据中心、研发中心或收购本地服务商。数据中心投资的关键先决条件是长期电力接入、土地和建设许可、设备采购、冷却与用水、网络路由、客户承诺和融资提款；缺少这些条件时，不宜仅凭市场增长预测作出固定资产承诺。</w:t>
      </w:r>
    </w:p>
    <w:p>
      <w:pPr>
        <w:spacing w:after="140" w:line="307" w:lineRule="auto"/>
        <w:ind w:firstLine="403"/>
      </w:pPr>
      <w:r>
        <w:rPr>
          <w:rFonts w:ascii="Microsoft YaHei" w:hAnsi="Microsoft YaHei" w:eastAsia="Microsoft YaHei"/>
          <w:b w:val="0"/>
          <w:color w:val="292B30"/>
          <w:sz w:val="20"/>
        </w:rPr>
        <w:t>投后按月跟踪合同ARR、续费、客户集中度、数据事件、可用性、上架率、资本开支偏差、电力成本、网络安全事件及监管变更。跨境研发还应监控出口管制、开源软件许可、专利归属和人员访问权限。对AI项目建立模型训练数据来源、第三方模型依赖和客户输出责任清单，明确可能导致产品下架、罚款或赔偿的风险。</w:t>
      </w:r>
    </w:p>
    <w:tbl>
      <w:tblPr>
        <w:tblStyle w:val="TableGrid"/>
        <w:tblW w:type="auto" w:w="0"/>
        <w:jc w:val="center"/>
        <w:tblLayout w:type="autofit"/>
        <w:tblLook w:firstColumn="1" w:firstRow="1" w:lastColumn="0" w:lastRow="0" w:noHBand="0" w:noVBand="1" w:val="04A0"/>
      </w:tblPr>
      <w:tblGrid>
        <w:gridCol w:w="4997"/>
        <w:gridCol w:w="4997"/>
      </w:tblGrid>
      <w:tr>
        <w:trPr>
          <w:tblHeader w:val="true"/>
        </w:trPr>
        <w:tc>
          <w:tcPr>
            <w:tcW w:type="dxa" w:w="4997"/>
            <w:shd w:fill="17264C"/>
            <w:vAlign w:val="center"/>
            <w:tcMar>
              <w:top w:w="100" w:type="dxa"/>
              <w:start w:w="100" w:type="dxa"/>
              <w:bottom w:w="100" w:type="dxa"/>
              <w:end w:w="100" w:type="dxa"/>
            </w:tcMar>
          </w:tcPr>
          <w:p>
            <w:pPr>
              <w:spacing w:after="0" w:before="0"/>
            </w:pPr>
            <w:r/>
            <w:r>
              <w:rPr>
                <w:rFonts w:ascii="Microsoft YaHei" w:hAnsi="Microsoft YaHei" w:eastAsia="Microsoft YaHei"/>
                <w:b/>
                <w:color w:val="FFFFFF"/>
                <w:sz w:val="18"/>
              </w:rPr>
              <w:t>投委会指标</w:t>
            </w:r>
          </w:p>
        </w:tc>
        <w:tc>
          <w:tcPr>
            <w:tcW w:type="dxa" w:w="4997"/>
            <w:shd w:fill="17264C"/>
            <w:vAlign w:val="center"/>
            <w:tcMar>
              <w:top w:w="100" w:type="dxa"/>
              <w:start w:w="100" w:type="dxa"/>
              <w:bottom w:w="100" w:type="dxa"/>
              <w:end w:w="100" w:type="dxa"/>
            </w:tcMar>
          </w:tcPr>
          <w:p>
            <w:pPr>
              <w:spacing w:after="0" w:before="0"/>
            </w:pPr>
            <w:r/>
            <w:r>
              <w:rPr>
                <w:rFonts w:ascii="Microsoft YaHei" w:hAnsi="Microsoft YaHei" w:eastAsia="Microsoft YaHei"/>
                <w:b/>
                <w:color w:val="FFFFFF"/>
                <w:sz w:val="18"/>
              </w:rPr>
              <w:t>建议在立项/投后持续观察</w:t>
            </w:r>
          </w:p>
        </w:tc>
      </w:tr>
      <w:tr>
        <w:tc>
          <w:tcPr>
            <w:tcW w:type="dxa" w:w="4997"/>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需求与现金流</w:t>
            </w:r>
          </w:p>
        </w:tc>
        <w:tc>
          <w:tcPr>
            <w:tcW w:type="dxa" w:w="4997"/>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客户合同/订单覆盖、回款周期、单位经济性与下行情景</w:t>
            </w:r>
          </w:p>
        </w:tc>
      </w:tr>
      <w:tr>
        <w:tc>
          <w:tcPr>
            <w:tcW w:type="dxa" w:w="4997"/>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资本与进度</w:t>
            </w:r>
          </w:p>
        </w:tc>
        <w:tc>
          <w:tcPr>
            <w:tcW w:type="dxa" w:w="4997"/>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预算偏差、许可/建设里程碑、实际出资与产能爬坡</w:t>
            </w:r>
          </w:p>
        </w:tc>
      </w:tr>
      <w:tr>
        <w:tc>
          <w:tcPr>
            <w:tcW w:type="dxa" w:w="4997"/>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合规与韧性</w:t>
            </w:r>
          </w:p>
        </w:tc>
        <w:tc>
          <w:tcPr>
            <w:tcW w:type="dxa" w:w="4997"/>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准入许可、供应链/原产地、环境社会和退出触发条件</w:t>
            </w:r>
          </w:p>
        </w:tc>
      </w:tr>
    </w:tbl>
    <w:p>
      <w:pPr>
        <w:pStyle w:val="Heading1"/>
        <w:keepNext/>
      </w:pPr>
      <w:r>
        <w:rPr>
          <w:rFonts w:ascii="Microsoft YaHei" w:hAnsi="Microsoft YaHei" w:eastAsia="Microsoft YaHei"/>
          <w:b/>
          <w:color w:val="17264C"/>
          <w:sz w:val="34"/>
        </w:rPr>
        <w:t>行业投资额、占比与市场容量</w:t>
      </w:r>
    </w:p>
    <w:p>
      <w:pPr>
        <w:spacing w:after="140" w:line="307" w:lineRule="auto"/>
        <w:ind w:firstLine="403"/>
      </w:pPr>
      <w:r>
        <w:rPr>
          <w:rFonts w:ascii="Microsoft YaHei" w:hAnsi="Microsoft YaHei" w:eastAsia="Microsoft YaHei"/>
          <w:b w:val="0"/>
          <w:color w:val="292B30"/>
          <w:sz w:val="20"/>
        </w:rPr>
        <w:t>下表中的中国对外投资行业金额来自商务部2025年非金融类行业统计，分母为10404.2亿元人民币；金融业按全行业ODI统计另列。占比由公开金额计算，受四舍五入影响。全球市场指标用于衡量需求或资本环境，不等同于中资可投资市场、企业收入或目标公司的估值。</w:t>
      </w:r>
    </w:p>
    <w:tbl>
      <w:tblPr>
        <w:tblStyle w:val="TableGrid"/>
        <w:tblW w:type="auto" w:w="0"/>
        <w:jc w:val="center"/>
        <w:tblLayout w:type="autofit"/>
        <w:tblLook w:firstColumn="1" w:firstRow="1" w:lastColumn="0" w:lastRow="0" w:noHBand="0" w:noVBand="1" w:val="04A0"/>
      </w:tblPr>
      <w:tblGrid>
        <w:gridCol w:w="1999"/>
        <w:gridCol w:w="1999"/>
        <w:gridCol w:w="1999"/>
        <w:gridCol w:w="1999"/>
        <w:gridCol w:w="1999"/>
      </w:tblGrid>
      <w:tr>
        <w:trPr>
          <w:tblHeader w:val="true"/>
        </w:trPr>
        <w:tc>
          <w:tcPr>
            <w:tcW w:type="dxa" w:w="1999"/>
            <w:shd w:fill="17264C"/>
            <w:vAlign w:val="center"/>
            <w:tcMar>
              <w:top w:w="100" w:type="dxa"/>
              <w:start w:w="100" w:type="dxa"/>
              <w:bottom w:w="100" w:type="dxa"/>
              <w:end w:w="100" w:type="dxa"/>
            </w:tcMar>
          </w:tcPr>
          <w:p>
            <w:pPr>
              <w:spacing w:after="0" w:before="0"/>
            </w:pPr>
            <w:r/>
            <w:r>
              <w:rPr>
                <w:rFonts w:ascii="Microsoft YaHei" w:hAnsi="Microsoft YaHei" w:eastAsia="Microsoft YaHei"/>
                <w:b/>
                <w:color w:val="FFFFFF"/>
                <w:sz w:val="18"/>
              </w:rPr>
              <w:t>规模或趋势指标</w:t>
            </w:r>
          </w:p>
        </w:tc>
        <w:tc>
          <w:tcPr>
            <w:tcW w:type="dxa" w:w="1999"/>
            <w:shd w:fill="17264C"/>
            <w:vAlign w:val="center"/>
            <w:tcMar>
              <w:top w:w="100" w:type="dxa"/>
              <w:start w:w="100" w:type="dxa"/>
              <w:bottom w:w="100" w:type="dxa"/>
              <w:end w:w="100" w:type="dxa"/>
            </w:tcMar>
          </w:tcPr>
          <w:p>
            <w:pPr>
              <w:spacing w:after="0" w:before="0"/>
            </w:pPr>
            <w:r/>
            <w:r>
              <w:rPr>
                <w:rFonts w:ascii="Microsoft YaHei" w:hAnsi="Microsoft YaHei" w:eastAsia="Microsoft YaHei"/>
                <w:b/>
                <w:color w:val="FFFFFF"/>
                <w:sz w:val="18"/>
              </w:rPr>
              <w:t>2025/最新值</w:t>
            </w:r>
          </w:p>
        </w:tc>
        <w:tc>
          <w:tcPr>
            <w:tcW w:type="dxa" w:w="1999"/>
            <w:shd w:fill="17264C"/>
            <w:vAlign w:val="center"/>
            <w:tcMar>
              <w:top w:w="100" w:type="dxa"/>
              <w:start w:w="100" w:type="dxa"/>
              <w:bottom w:w="100" w:type="dxa"/>
              <w:end w:w="100" w:type="dxa"/>
            </w:tcMar>
          </w:tcPr>
          <w:p>
            <w:pPr>
              <w:spacing w:after="0" w:before="0"/>
            </w:pPr>
            <w:r/>
            <w:r>
              <w:rPr>
                <w:rFonts w:ascii="Microsoft YaHei" w:hAnsi="Microsoft YaHei" w:eastAsia="Microsoft YaHei"/>
                <w:b/>
                <w:color w:val="FFFFFF"/>
                <w:sz w:val="18"/>
              </w:rPr>
              <w:t>占比/范围</w:t>
            </w:r>
          </w:p>
        </w:tc>
        <w:tc>
          <w:tcPr>
            <w:tcW w:type="dxa" w:w="1999"/>
            <w:shd w:fill="17264C"/>
            <w:vAlign w:val="center"/>
            <w:tcMar>
              <w:top w:w="100" w:type="dxa"/>
              <w:start w:w="100" w:type="dxa"/>
              <w:bottom w:w="100" w:type="dxa"/>
              <w:end w:w="100" w:type="dxa"/>
            </w:tcMar>
          </w:tcPr>
          <w:p>
            <w:pPr>
              <w:spacing w:after="0" w:before="0"/>
            </w:pPr>
            <w:r/>
            <w:r>
              <w:rPr>
                <w:rFonts w:ascii="Microsoft YaHei" w:hAnsi="Microsoft YaHei" w:eastAsia="Microsoft YaHei"/>
                <w:b/>
                <w:color w:val="FFFFFF"/>
                <w:sz w:val="18"/>
              </w:rPr>
              <w:t>同比或趋势</w:t>
            </w:r>
          </w:p>
        </w:tc>
        <w:tc>
          <w:tcPr>
            <w:tcW w:type="dxa" w:w="1999"/>
            <w:shd w:fill="17264C"/>
            <w:vAlign w:val="center"/>
            <w:tcMar>
              <w:top w:w="100" w:type="dxa"/>
              <w:start w:w="100" w:type="dxa"/>
              <w:bottom w:w="100" w:type="dxa"/>
              <w:end w:w="100" w:type="dxa"/>
            </w:tcMar>
          </w:tcPr>
          <w:p>
            <w:pPr>
              <w:spacing w:after="0" w:before="0"/>
            </w:pPr>
            <w:r/>
            <w:r>
              <w:rPr>
                <w:rFonts w:ascii="Microsoft YaHei" w:hAnsi="Microsoft YaHei" w:eastAsia="Microsoft YaHei"/>
                <w:b/>
                <w:color w:val="FFFFFF"/>
                <w:sz w:val="18"/>
              </w:rPr>
              <w:t>数据解释</w:t>
            </w:r>
          </w:p>
        </w:tc>
      </w:tr>
      <w:tr>
        <w:tc>
          <w:tcPr>
            <w:tcW w:type="dxa" w:w="1999"/>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信息/软件/IT服务ODI</w:t>
            </w:r>
          </w:p>
        </w:tc>
        <w:tc>
          <w:tcPr>
            <w:tcW w:type="dxa" w:w="1999"/>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369亿元</w:t>
            </w:r>
          </w:p>
        </w:tc>
        <w:tc>
          <w:tcPr>
            <w:tcW w:type="dxa" w:w="1999"/>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3.5%</w:t>
            </w:r>
          </w:p>
        </w:tc>
        <w:tc>
          <w:tcPr>
            <w:tcW w:type="dxa" w:w="1999"/>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-11.1%</w:t>
            </w:r>
          </w:p>
        </w:tc>
        <w:tc>
          <w:tcPr>
            <w:tcW w:type="dxa" w:w="1999"/>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2025非金融统计</w:t>
            </w:r>
          </w:p>
        </w:tc>
      </w:tr>
      <w:tr>
        <w:tc>
          <w:tcPr>
            <w:tcW w:type="dxa" w:w="1999"/>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全球企业电商销售</w:t>
            </w:r>
          </w:p>
        </w:tc>
        <w:tc>
          <w:tcPr>
            <w:tcW w:type="dxa" w:w="1999"/>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约27万亿美元</w:t>
            </w:r>
          </w:p>
        </w:tc>
        <w:tc>
          <w:tcPr>
            <w:tcW w:type="dxa" w:w="1999"/>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43个经济体</w:t>
            </w:r>
          </w:p>
        </w:tc>
        <w:tc>
          <w:tcPr>
            <w:tcW w:type="dxa" w:w="1999"/>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2022估值；较2016增长</w:t>
            </w:r>
          </w:p>
        </w:tc>
        <w:tc>
          <w:tcPr>
            <w:tcW w:type="dxa" w:w="1999"/>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多数为B2B及国内交易</w:t>
            </w:r>
          </w:p>
        </w:tc>
      </w:tr>
      <w:tr>
        <w:tc>
          <w:tcPr>
            <w:tcW w:type="dxa" w:w="1999"/>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全球数据中心用电</w:t>
            </w:r>
          </w:p>
        </w:tc>
        <w:tc>
          <w:tcPr>
            <w:tcW w:type="dxa" w:w="1999"/>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2025需求同比+17%</w:t>
            </w:r>
          </w:p>
        </w:tc>
        <w:tc>
          <w:tcPr>
            <w:tcW w:type="dxa" w:w="1999"/>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AI数据中心增速更高</w:t>
            </w:r>
          </w:p>
        </w:tc>
        <w:tc>
          <w:tcPr>
            <w:tcW w:type="dxa" w:w="1999"/>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2025实际观察</w:t>
            </w:r>
          </w:p>
        </w:tc>
        <w:tc>
          <w:tcPr>
            <w:tcW w:type="dxa" w:w="1999"/>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IEA需求指标，不是数据中心收入</w:t>
            </w:r>
          </w:p>
        </w:tc>
      </w:tr>
    </w:tbl>
    <w:p>
      <w:pPr>
        <w:spacing w:after="140" w:line="307" w:lineRule="auto"/>
        <w:ind w:firstLine="403"/>
      </w:pPr>
      <w:r>
        <w:rPr>
          <w:rFonts w:ascii="Microsoft YaHei" w:hAnsi="Microsoft YaHei" w:eastAsia="Microsoft YaHei"/>
          <w:b w:val="0"/>
          <w:color w:val="292B30"/>
          <w:sz w:val="20"/>
        </w:rPr>
        <w:t>投资判断应将“行业景气”拆成可转化为项目现金流的条件：产品获客、订单覆盖、资本强度、许可周期、产能利用率、价格/单位收入及退出机制。高增速小基数、跨行业统计和并购公告会产生显著偏差，模型应至少设置基准、下行和延迟三个情景。</w:t>
      </w:r>
    </w:p>
    <w:p>
      <w:pPr>
        <w:pStyle w:val="Heading1"/>
        <w:keepNext/>
      </w:pPr>
      <w:r>
        <w:rPr>
          <w:rFonts w:ascii="Microsoft YaHei" w:hAnsi="Microsoft YaHei" w:eastAsia="Microsoft YaHei"/>
          <w:b/>
          <w:color w:val="17264C"/>
          <w:sz w:val="34"/>
        </w:rPr>
        <w:t>七  建议的 90 天工作顺序</w:t>
      </w:r>
    </w:p>
    <w:tbl>
      <w:tblPr>
        <w:tblStyle w:val="TableGrid"/>
        <w:tblW w:type="auto" w:w="0"/>
        <w:jc w:val="center"/>
        <w:tblLayout w:type="autofit"/>
        <w:tblLook w:firstColumn="1" w:firstRow="1" w:lastColumn="0" w:lastRow="0" w:noHBand="0" w:noVBand="1" w:val="04A0"/>
      </w:tblPr>
      <w:tblGrid>
        <w:gridCol w:w="4997"/>
        <w:gridCol w:w="4997"/>
      </w:tblGrid>
      <w:tr>
        <w:trPr>
          <w:tblHeader w:val="true"/>
        </w:trPr>
        <w:tc>
          <w:tcPr>
            <w:tcW w:type="dxa" w:w="4997"/>
            <w:shd w:fill="17264C"/>
            <w:vAlign w:val="center"/>
            <w:tcMar>
              <w:top w:w="100" w:type="dxa"/>
              <w:start w:w="100" w:type="dxa"/>
              <w:bottom w:w="100" w:type="dxa"/>
              <w:end w:w="100" w:type="dxa"/>
            </w:tcMar>
          </w:tcPr>
          <w:p>
            <w:pPr>
              <w:spacing w:after="0" w:before="0"/>
            </w:pPr>
            <w:r/>
            <w:r>
              <w:rPr>
                <w:rFonts w:ascii="Microsoft YaHei" w:hAnsi="Microsoft YaHei" w:eastAsia="Microsoft YaHei"/>
                <w:b/>
                <w:color w:val="FFFFFF"/>
                <w:sz w:val="18"/>
              </w:rPr>
              <w:t>阶段</w:t>
            </w:r>
          </w:p>
        </w:tc>
        <w:tc>
          <w:tcPr>
            <w:tcW w:type="dxa" w:w="4997"/>
            <w:shd w:fill="17264C"/>
            <w:vAlign w:val="center"/>
            <w:tcMar>
              <w:top w:w="100" w:type="dxa"/>
              <w:start w:w="100" w:type="dxa"/>
              <w:bottom w:w="100" w:type="dxa"/>
              <w:end w:w="100" w:type="dxa"/>
            </w:tcMar>
          </w:tcPr>
          <w:p>
            <w:pPr>
              <w:spacing w:after="0" w:before="0"/>
            </w:pPr>
            <w:r/>
            <w:r>
              <w:rPr>
                <w:rFonts w:ascii="Microsoft YaHei" w:hAnsi="Microsoft YaHei" w:eastAsia="Microsoft YaHei"/>
                <w:b/>
                <w:color w:val="FFFFFF"/>
                <w:sz w:val="18"/>
              </w:rPr>
              <w:t>建议动作</w:t>
            </w:r>
          </w:p>
        </w:tc>
      </w:tr>
      <w:tr>
        <w:tc>
          <w:tcPr>
            <w:tcW w:type="dxa" w:w="4997"/>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第 1 阶段</w:t>
            </w:r>
          </w:p>
        </w:tc>
        <w:tc>
          <w:tcPr>
            <w:tcW w:type="dxa" w:w="4997"/>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0—30天：画出数据流、技术流、客户流和付款流，明确产品是销售、托管、研发还是基础设施。</w:t>
            </w:r>
          </w:p>
        </w:tc>
      </w:tr>
      <w:tr>
        <w:tc>
          <w:tcPr>
            <w:tcW w:type="dxa" w:w="4997"/>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第 2 阶段</w:t>
            </w:r>
          </w:p>
        </w:tc>
        <w:tc>
          <w:tcPr>
            <w:tcW w:type="dxa" w:w="4997"/>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30—60天：比选属地和实体形态，完成 ODI 与外资/数据/云许可初筛，形成合同和数据治理要点。</w:t>
            </w:r>
          </w:p>
        </w:tc>
      </w:tr>
      <w:tr>
        <w:tc>
          <w:tcPr>
            <w:tcW w:type="dxa" w:w="4997"/>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第 3 阶段</w:t>
            </w:r>
          </w:p>
        </w:tc>
        <w:tc>
          <w:tcPr>
            <w:tcW w:type="dxa" w:w="4997"/>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60—90天：完成开户、收款和账务设置，发布本地合同模板和数据处理职责矩阵。</w:t>
            </w:r>
          </w:p>
        </w:tc>
      </w:tr>
    </w:tbl>
    <w:p>
      <w:pPr>
        <w:pStyle w:val="Heading1"/>
        <w:keepNext/>
      </w:pPr>
      <w:r>
        <w:rPr>
          <w:rFonts w:ascii="Microsoft YaHei" w:hAnsi="Microsoft YaHei" w:eastAsia="Microsoft YaHei"/>
          <w:b/>
          <w:color w:val="17264C"/>
          <w:sz w:val="34"/>
        </w:rPr>
        <w:t>研究说明与资料来源</w:t>
      </w:r>
    </w:p>
    <w:p>
      <w:pPr>
        <w:spacing w:after="140" w:line="307" w:lineRule="auto"/>
        <w:ind w:firstLine="403"/>
      </w:pPr>
      <w:r>
        <w:rPr>
          <w:rFonts w:ascii="Microsoft YaHei" w:hAnsi="Microsoft YaHei" w:eastAsia="Microsoft YaHei"/>
          <w:b w:val="0"/>
          <w:color w:val="292B30"/>
          <w:sz w:val="20"/>
        </w:rPr>
        <w:t>统计口径说明：全行业 ODI 与非金融类 ODI 不能直接互换；人民币和美元同比受汇率及统计修订影响；并购公告金额可能含未交割交易；不同机构数据库对交易对象、宣布时间、完成状态和目的地归属采用不同规则。本报告在相关指标处注明口径，重大投资或法规决策应基于项目事实重新核验。</w:t>
      </w:r>
    </w:p>
    <w:p>
      <w:pPr>
        <w:pStyle w:val="Heading1"/>
        <w:keepNext/>
      </w:pPr>
      <w:r>
        <w:rPr>
          <w:rFonts w:ascii="Microsoft YaHei" w:hAnsi="Microsoft YaHei" w:eastAsia="Microsoft YaHei"/>
          <w:b/>
          <w:color w:val="17264C"/>
          <w:sz w:val="34"/>
        </w:rPr>
        <w:t>附录  中国对外直接投资长期流量序列</w:t>
      </w:r>
    </w:p>
    <w:p>
      <w:pPr>
        <w:spacing w:after="140" w:line="307" w:lineRule="auto"/>
        <w:ind w:firstLine="403"/>
      </w:pPr>
      <w:r>
        <w:rPr>
          <w:rFonts w:ascii="Microsoft YaHei" w:hAnsi="Microsoft YaHei" w:eastAsia="Microsoft YaHei"/>
          <w:b w:val="0"/>
          <w:color w:val="292B30"/>
          <w:sz w:val="20"/>
        </w:rPr>
        <w:t>为观察长期趋势，本表采用商务部统计公报发布的2006—2024年年度序列，并补入2025年最终公报数据。单位为亿美元。2006年以前的早期数据统计范围与全行业 ODI 不完全一致，故不与本序列拼接。</w:t>
      </w:r>
    </w:p>
    <w:tbl>
      <w:tblPr>
        <w:tblStyle w:val="TableGrid"/>
        <w:tblW w:type="auto" w:w="0"/>
        <w:jc w:val="center"/>
        <w:tblLayout w:type="autofit"/>
        <w:tblLook w:firstColumn="1" w:firstRow="1" w:lastColumn="0" w:lastRow="0" w:noHBand="0" w:noVBand="1" w:val="04A0"/>
      </w:tblPr>
      <w:tblGrid>
        <w:gridCol w:w="2498"/>
        <w:gridCol w:w="2498"/>
        <w:gridCol w:w="2498"/>
        <w:gridCol w:w="2498"/>
      </w:tblGrid>
      <w:tr>
        <w:trPr>
          <w:tblHeader w:val="true"/>
        </w:trPr>
        <w:tc>
          <w:tcPr>
            <w:tcW w:type="dxa" w:w="2498"/>
            <w:shd w:fill="17264C"/>
            <w:vAlign w:val="center"/>
            <w:tcMar>
              <w:top w:w="100" w:type="dxa"/>
              <w:start w:w="100" w:type="dxa"/>
              <w:bottom w:w="100" w:type="dxa"/>
              <w:end w:w="100" w:type="dxa"/>
            </w:tcMar>
          </w:tcPr>
          <w:p>
            <w:pPr>
              <w:spacing w:after="0" w:before="0"/>
            </w:pPr>
            <w:r/>
            <w:r>
              <w:rPr>
                <w:rFonts w:ascii="Microsoft YaHei" w:hAnsi="Microsoft YaHei" w:eastAsia="Microsoft YaHei"/>
                <w:b/>
                <w:color w:val="FFFFFF"/>
                <w:sz w:val="18"/>
              </w:rPr>
              <w:t>年份</w:t>
            </w:r>
          </w:p>
        </w:tc>
        <w:tc>
          <w:tcPr>
            <w:tcW w:type="dxa" w:w="2498"/>
            <w:shd w:fill="17264C"/>
            <w:vAlign w:val="center"/>
            <w:tcMar>
              <w:top w:w="100" w:type="dxa"/>
              <w:start w:w="100" w:type="dxa"/>
              <w:bottom w:w="100" w:type="dxa"/>
              <w:end w:w="100" w:type="dxa"/>
            </w:tcMar>
          </w:tcPr>
          <w:p>
            <w:pPr>
              <w:spacing w:after="0" w:before="0"/>
            </w:pPr>
            <w:r/>
            <w:r>
              <w:rPr>
                <w:rFonts w:ascii="Microsoft YaHei" w:hAnsi="Microsoft YaHei" w:eastAsia="Microsoft YaHei"/>
                <w:b/>
                <w:color w:val="FFFFFF"/>
                <w:sz w:val="18"/>
              </w:rPr>
              <w:t>流量（亿美元）</w:t>
            </w:r>
          </w:p>
        </w:tc>
        <w:tc>
          <w:tcPr>
            <w:tcW w:type="dxa" w:w="2498"/>
            <w:shd w:fill="17264C"/>
            <w:vAlign w:val="center"/>
            <w:tcMar>
              <w:top w:w="100" w:type="dxa"/>
              <w:start w:w="100" w:type="dxa"/>
              <w:bottom w:w="100" w:type="dxa"/>
              <w:end w:w="100" w:type="dxa"/>
            </w:tcMar>
          </w:tcPr>
          <w:p>
            <w:pPr>
              <w:spacing w:after="0" w:before="0"/>
            </w:pPr>
            <w:r/>
            <w:r>
              <w:rPr>
                <w:rFonts w:ascii="Microsoft YaHei" w:hAnsi="Microsoft YaHei" w:eastAsia="Microsoft YaHei"/>
                <w:b/>
                <w:color w:val="FFFFFF"/>
                <w:sz w:val="18"/>
              </w:rPr>
              <w:t>年份</w:t>
            </w:r>
          </w:p>
        </w:tc>
        <w:tc>
          <w:tcPr>
            <w:tcW w:type="dxa" w:w="2498"/>
            <w:shd w:fill="17264C"/>
            <w:vAlign w:val="center"/>
            <w:tcMar>
              <w:top w:w="100" w:type="dxa"/>
              <w:start w:w="100" w:type="dxa"/>
              <w:bottom w:w="100" w:type="dxa"/>
              <w:end w:w="100" w:type="dxa"/>
            </w:tcMar>
          </w:tcPr>
          <w:p>
            <w:pPr>
              <w:spacing w:after="0" w:before="0"/>
            </w:pPr>
            <w:r/>
            <w:r>
              <w:rPr>
                <w:rFonts w:ascii="Microsoft YaHei" w:hAnsi="Microsoft YaHei" w:eastAsia="Microsoft YaHei"/>
                <w:b/>
                <w:color w:val="FFFFFF"/>
                <w:sz w:val="18"/>
              </w:rPr>
              <w:t>流量（亿美元）</w:t>
            </w:r>
          </w:p>
        </w:tc>
      </w:tr>
      <w:tr>
        <w:tc>
          <w:tcPr>
            <w:tcW w:type="dxa" w:w="249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2006</w:t>
            </w:r>
          </w:p>
        </w:tc>
        <w:tc>
          <w:tcPr>
            <w:tcW w:type="dxa" w:w="249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211.6</w:t>
            </w:r>
          </w:p>
        </w:tc>
        <w:tc>
          <w:tcPr>
            <w:tcW w:type="dxa" w:w="249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2016</w:t>
            </w:r>
          </w:p>
        </w:tc>
        <w:tc>
          <w:tcPr>
            <w:tcW w:type="dxa" w:w="249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1,961.5</w:t>
            </w:r>
          </w:p>
        </w:tc>
      </w:tr>
      <w:tr>
        <w:tc>
          <w:tcPr>
            <w:tcW w:type="dxa" w:w="2498"/>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2007</w:t>
            </w:r>
          </w:p>
        </w:tc>
        <w:tc>
          <w:tcPr>
            <w:tcW w:type="dxa" w:w="2498"/>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265.1</w:t>
            </w:r>
          </w:p>
        </w:tc>
        <w:tc>
          <w:tcPr>
            <w:tcW w:type="dxa" w:w="2498"/>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2017</w:t>
            </w:r>
          </w:p>
        </w:tc>
        <w:tc>
          <w:tcPr>
            <w:tcW w:type="dxa" w:w="2498"/>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1,582.9</w:t>
            </w:r>
          </w:p>
        </w:tc>
      </w:tr>
      <w:tr>
        <w:tc>
          <w:tcPr>
            <w:tcW w:type="dxa" w:w="249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2008</w:t>
            </w:r>
          </w:p>
        </w:tc>
        <w:tc>
          <w:tcPr>
            <w:tcW w:type="dxa" w:w="249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559.1</w:t>
            </w:r>
          </w:p>
        </w:tc>
        <w:tc>
          <w:tcPr>
            <w:tcW w:type="dxa" w:w="249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2018</w:t>
            </w:r>
          </w:p>
        </w:tc>
        <w:tc>
          <w:tcPr>
            <w:tcW w:type="dxa" w:w="249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1,430.4</w:t>
            </w:r>
          </w:p>
        </w:tc>
      </w:tr>
      <w:tr>
        <w:tc>
          <w:tcPr>
            <w:tcW w:type="dxa" w:w="2498"/>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2009</w:t>
            </w:r>
          </w:p>
        </w:tc>
        <w:tc>
          <w:tcPr>
            <w:tcW w:type="dxa" w:w="2498"/>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565.3</w:t>
            </w:r>
          </w:p>
        </w:tc>
        <w:tc>
          <w:tcPr>
            <w:tcW w:type="dxa" w:w="2498"/>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2019</w:t>
            </w:r>
          </w:p>
        </w:tc>
        <w:tc>
          <w:tcPr>
            <w:tcW w:type="dxa" w:w="2498"/>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1,369.1</w:t>
            </w:r>
          </w:p>
        </w:tc>
      </w:tr>
      <w:tr>
        <w:tc>
          <w:tcPr>
            <w:tcW w:type="dxa" w:w="249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2010</w:t>
            </w:r>
          </w:p>
        </w:tc>
        <w:tc>
          <w:tcPr>
            <w:tcW w:type="dxa" w:w="249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688.1</w:t>
            </w:r>
          </w:p>
        </w:tc>
        <w:tc>
          <w:tcPr>
            <w:tcW w:type="dxa" w:w="249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2020</w:t>
            </w:r>
          </w:p>
        </w:tc>
        <w:tc>
          <w:tcPr>
            <w:tcW w:type="dxa" w:w="249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1,537.1</w:t>
            </w:r>
          </w:p>
        </w:tc>
      </w:tr>
      <w:tr>
        <w:tc>
          <w:tcPr>
            <w:tcW w:type="dxa" w:w="2498"/>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2011</w:t>
            </w:r>
          </w:p>
        </w:tc>
        <w:tc>
          <w:tcPr>
            <w:tcW w:type="dxa" w:w="2498"/>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746.5</w:t>
            </w:r>
          </w:p>
        </w:tc>
        <w:tc>
          <w:tcPr>
            <w:tcW w:type="dxa" w:w="2498"/>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2021</w:t>
            </w:r>
          </w:p>
        </w:tc>
        <w:tc>
          <w:tcPr>
            <w:tcW w:type="dxa" w:w="2498"/>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1,788.2</w:t>
            </w:r>
          </w:p>
        </w:tc>
      </w:tr>
      <w:tr>
        <w:tc>
          <w:tcPr>
            <w:tcW w:type="dxa" w:w="249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2012</w:t>
            </w:r>
          </w:p>
        </w:tc>
        <w:tc>
          <w:tcPr>
            <w:tcW w:type="dxa" w:w="249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878.0</w:t>
            </w:r>
          </w:p>
        </w:tc>
        <w:tc>
          <w:tcPr>
            <w:tcW w:type="dxa" w:w="249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2022</w:t>
            </w:r>
          </w:p>
        </w:tc>
        <w:tc>
          <w:tcPr>
            <w:tcW w:type="dxa" w:w="249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1,631.2</w:t>
            </w:r>
          </w:p>
        </w:tc>
      </w:tr>
      <w:tr>
        <w:tc>
          <w:tcPr>
            <w:tcW w:type="dxa" w:w="2498"/>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2013</w:t>
            </w:r>
          </w:p>
        </w:tc>
        <w:tc>
          <w:tcPr>
            <w:tcW w:type="dxa" w:w="2498"/>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1,078.4</w:t>
            </w:r>
          </w:p>
        </w:tc>
        <w:tc>
          <w:tcPr>
            <w:tcW w:type="dxa" w:w="2498"/>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2023</w:t>
            </w:r>
          </w:p>
        </w:tc>
        <w:tc>
          <w:tcPr>
            <w:tcW w:type="dxa" w:w="2498"/>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1,772.9</w:t>
            </w:r>
          </w:p>
        </w:tc>
      </w:tr>
      <w:tr>
        <w:tc>
          <w:tcPr>
            <w:tcW w:type="dxa" w:w="249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2014</w:t>
            </w:r>
          </w:p>
        </w:tc>
        <w:tc>
          <w:tcPr>
            <w:tcW w:type="dxa" w:w="249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1,231.2</w:t>
            </w:r>
          </w:p>
        </w:tc>
        <w:tc>
          <w:tcPr>
            <w:tcW w:type="dxa" w:w="249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2024</w:t>
            </w:r>
          </w:p>
        </w:tc>
        <w:tc>
          <w:tcPr>
            <w:tcW w:type="dxa" w:w="249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1,922.0</w:t>
            </w:r>
          </w:p>
        </w:tc>
      </w:tr>
      <w:tr>
        <w:tc>
          <w:tcPr>
            <w:tcW w:type="dxa" w:w="2498"/>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2015</w:t>
            </w:r>
          </w:p>
        </w:tc>
        <w:tc>
          <w:tcPr>
            <w:tcW w:type="dxa" w:w="2498"/>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1,456.7</w:t>
            </w:r>
          </w:p>
        </w:tc>
        <w:tc>
          <w:tcPr>
            <w:tcW w:type="dxa" w:w="2498"/>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2025</w:t>
            </w:r>
          </w:p>
        </w:tc>
        <w:tc>
          <w:tcPr>
            <w:tcW w:type="dxa" w:w="2498"/>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2,135.8</w:t>
            </w:r>
          </w:p>
        </w:tc>
      </w:tr>
    </w:tbl>
    <w:tbl>
      <w:tblPr>
        <w:tblW w:type="auto" w:w="0"/>
        <w:jc w:val="center"/>
        <w:tblLook w:firstColumn="1" w:firstRow="1" w:lastColumn="0" w:lastRow="0" w:noHBand="0" w:noVBand="1" w:val="04A0"/>
      </w:tblPr>
      <w:tblGrid>
        <w:gridCol w:w="9994"/>
      </w:tblGrid>
      <w:tr>
        <w:tc>
          <w:tcPr>
            <w:tcW w:type="dxa" w:w="9994"/>
            <w:shd w:fill="FFF2EC"/>
            <w:tcMar>
              <w:top w:w="160" w:type="dxa"/>
              <w:start w:w="200" w:type="dxa"/>
              <w:bottom w:w="160" w:type="dxa"/>
              <w:end w:w="200" w:type="dxa"/>
            </w:tcMar>
          </w:tcPr>
          <w:p>
            <w:pPr>
              <w:spacing w:after="60"/>
            </w:pPr>
            <w:r/>
            <w:r>
              <w:rPr>
                <w:rFonts w:ascii="Microsoft YaHei" w:hAnsi="Microsoft YaHei" w:eastAsia="Microsoft YaHei"/>
                <w:b/>
                <w:color w:val="E9562B"/>
                <w:sz w:val="18"/>
              </w:rPr>
              <w:t>趋势解读</w:t>
            </w:r>
          </w:p>
          <w:p>
            <w:pPr>
              <w:spacing w:after="0" w:line="288" w:lineRule="auto"/>
            </w:pPr>
            <w:r>
              <w:rPr>
                <w:rFonts w:ascii="Microsoft YaHei" w:hAnsi="Microsoft YaHei" w:eastAsia="Microsoft YaHei"/>
                <w:b w:val="0"/>
                <w:color w:val="292B30"/>
                <w:sz w:val="20"/>
              </w:rPr>
              <w:t>2025年为最终统计公报发布值，2135.8亿美元；它比2024年最终公布值1922.0亿美元高11.1%。不同年度公报可能修订历史分项，跨年分析应以同一版本序列为基础。</w:t>
            </w:r>
          </w:p>
        </w:tc>
      </w:tr>
    </w:tbl>
    <w:p>
      <w:pPr>
        <w:spacing w:after="60"/>
        <w:ind w:left="317" w:hanging="317"/>
      </w:pPr>
      <w:r>
        <w:rPr>
          <w:rFonts w:ascii="Microsoft YaHei" w:hAnsi="Microsoft YaHei" w:eastAsia="Microsoft YaHei"/>
          <w:b w:val="0"/>
          <w:color w:val="292B30"/>
          <w:sz w:val="17"/>
        </w:rPr>
        <w:t xml:space="preserve">[1] 国家统计局《中华人民共和国2025年国民经济和社会发展统计公报》  </w:t>
      </w:r>
      <w:hyperlink r:id="rId12">
        <w:r>
          <w:rPr>
            <w:color w:val="E9562B"/>
            <w:u w:val="single"/>
          </w:rPr>
          <w:t>查看原文</w:t>
        </w:r>
      </w:hyperlink>
    </w:p>
    <w:p>
      <w:pPr>
        <w:spacing w:after="60"/>
        <w:ind w:left="317" w:hanging="317"/>
      </w:pPr>
      <w:r>
        <w:rPr>
          <w:rFonts w:ascii="Microsoft YaHei" w:hAnsi="Microsoft YaHei" w:eastAsia="Microsoft YaHei"/>
          <w:b w:val="0"/>
          <w:color w:val="292B30"/>
          <w:sz w:val="17"/>
        </w:rPr>
        <w:t xml:space="preserve">[2] 商务部等《2025年度中国对外直接投资统计公报》  </w:t>
      </w:r>
      <w:hyperlink r:id="rId13">
        <w:r>
          <w:rPr>
            <w:color w:val="E9562B"/>
            <w:u w:val="single"/>
          </w:rPr>
          <w:t>查看原文</w:t>
        </w:r>
      </w:hyperlink>
    </w:p>
    <w:p>
      <w:pPr>
        <w:spacing w:after="60"/>
        <w:ind w:left="317" w:hanging="317"/>
      </w:pPr>
      <w:r>
        <w:rPr>
          <w:rFonts w:ascii="Microsoft YaHei" w:hAnsi="Microsoft YaHei" w:eastAsia="Microsoft YaHei"/>
          <w:b w:val="0"/>
          <w:color w:val="292B30"/>
          <w:sz w:val="17"/>
        </w:rPr>
        <w:t xml:space="preserve">[3] Rhodium Group《China’s Global Investment Grew in 2025, But Exports Outpaced Offshoring》  </w:t>
      </w:r>
      <w:hyperlink r:id="rId14">
        <w:r>
          <w:rPr>
            <w:color w:val="E9562B"/>
            <w:u w:val="single"/>
          </w:rPr>
          <w:t>查看原文</w:t>
        </w:r>
      </w:hyperlink>
    </w:p>
    <w:p>
      <w:pPr>
        <w:spacing w:after="60"/>
        <w:ind w:left="317" w:hanging="317"/>
      </w:pPr>
      <w:r>
        <w:rPr>
          <w:rFonts w:ascii="Microsoft YaHei" w:hAnsi="Microsoft YaHei" w:eastAsia="Microsoft YaHei"/>
          <w:b w:val="0"/>
          <w:color w:val="292B30"/>
          <w:sz w:val="17"/>
        </w:rPr>
        <w:t xml:space="preserve">[4] UNCTAD《World Investment Report 2026》新闻稿  </w:t>
      </w:r>
      <w:hyperlink r:id="rId15">
        <w:r>
          <w:rPr>
            <w:color w:val="E9562B"/>
            <w:u w:val="single"/>
          </w:rPr>
          <w:t>查看原文</w:t>
        </w:r>
      </w:hyperlink>
    </w:p>
    <w:p>
      <w:pPr>
        <w:spacing w:after="60"/>
        <w:ind w:left="317" w:hanging="317"/>
      </w:pPr>
      <w:r>
        <w:rPr>
          <w:rFonts w:ascii="Microsoft YaHei" w:hAnsi="Microsoft YaHei" w:eastAsia="Microsoft YaHei"/>
          <w:b w:val="0"/>
          <w:color w:val="292B30"/>
          <w:sz w:val="17"/>
        </w:rPr>
        <w:t xml:space="preserve">[5] EY《2025年中国海外投资概览》  </w:t>
      </w:r>
      <w:hyperlink r:id="rId16">
        <w:r>
          <w:rPr>
            <w:color w:val="E9562B"/>
            <w:u w:val="single"/>
          </w:rPr>
          <w:t>查看原文</w:t>
        </w:r>
      </w:hyperlink>
    </w:p>
    <w:p>
      <w:pPr>
        <w:spacing w:after="60"/>
        <w:ind w:left="317" w:hanging="317"/>
      </w:pPr>
      <w:r>
        <w:rPr>
          <w:rFonts w:ascii="Microsoft YaHei" w:hAnsi="Microsoft YaHei" w:eastAsia="Microsoft YaHei"/>
          <w:b w:val="0"/>
          <w:color w:val="292B30"/>
          <w:sz w:val="17"/>
        </w:rPr>
        <w:t xml:space="preserve">[6] European Commission《Fifth Annual Report on the Screening of FDI into the EU》  </w:t>
      </w:r>
      <w:hyperlink r:id="rId17">
        <w:r>
          <w:rPr>
            <w:color w:val="E9562B"/>
            <w:u w:val="single"/>
          </w:rPr>
          <w:t>查看原文</w:t>
        </w:r>
      </w:hyperlink>
    </w:p>
    <w:p>
      <w:pPr>
        <w:spacing w:after="60"/>
        <w:ind w:left="317" w:hanging="317"/>
      </w:pPr>
      <w:r>
        <w:rPr>
          <w:rFonts w:ascii="Microsoft YaHei" w:hAnsi="Microsoft YaHei" w:eastAsia="Microsoft YaHei"/>
          <w:b w:val="0"/>
          <w:color w:val="292B30"/>
          <w:sz w:val="17"/>
        </w:rPr>
        <w:t xml:space="preserve">[7] 商务部《2025年我国对外非金融类直接投资简明统计》  </w:t>
      </w:r>
      <w:hyperlink r:id="rId18">
        <w:r>
          <w:rPr>
            <w:color w:val="E9562B"/>
            <w:u w:val="single"/>
          </w:rPr>
          <w:t>查看原文</w:t>
        </w:r>
      </w:hyperlink>
    </w:p>
    <w:p>
      <w:pPr>
        <w:spacing w:after="60"/>
        <w:ind w:left="317" w:hanging="317"/>
      </w:pPr>
      <w:r>
        <w:rPr>
          <w:rFonts w:ascii="Microsoft YaHei" w:hAnsi="Microsoft YaHei" w:eastAsia="Microsoft YaHei"/>
          <w:b w:val="0"/>
          <w:color w:val="292B30"/>
          <w:sz w:val="17"/>
        </w:rPr>
        <w:t xml:space="preserve">[8] 商务部《2025年对外非金融类直接投资行业统计表》  </w:t>
      </w:r>
      <w:hyperlink r:id="rId19">
        <w:r>
          <w:rPr>
            <w:color w:val="E9562B"/>
            <w:u w:val="single"/>
          </w:rPr>
          <w:t>查看原文</w:t>
        </w:r>
      </w:hyperlink>
    </w:p>
    <w:p>
      <w:pPr>
        <w:spacing w:after="60"/>
        <w:ind w:left="317" w:hanging="317"/>
      </w:pPr>
      <w:r>
        <w:rPr>
          <w:rFonts w:ascii="Microsoft YaHei" w:hAnsi="Microsoft YaHei" w:eastAsia="Microsoft YaHei"/>
          <w:b w:val="0"/>
          <w:color w:val="292B30"/>
          <w:sz w:val="17"/>
        </w:rPr>
        <w:t xml:space="preserve">[9] EY《2025年中国海外投资概览》及地区并购数据  </w:t>
      </w:r>
      <w:hyperlink r:id="rId16">
        <w:r>
          <w:rPr>
            <w:color w:val="E9562B"/>
            <w:u w:val="single"/>
          </w:rPr>
          <w:t>查看原文</w:t>
        </w:r>
      </w:hyperlink>
    </w:p>
    <w:p>
      <w:pPr>
        <w:spacing w:after="60"/>
        <w:ind w:left="317" w:hanging="317"/>
      </w:pPr>
      <w:r>
        <w:rPr>
          <w:rFonts w:ascii="Microsoft YaHei" w:hAnsi="Microsoft YaHei" w:eastAsia="Microsoft YaHei"/>
          <w:b w:val="0"/>
          <w:color w:val="292B30"/>
          <w:sz w:val="17"/>
        </w:rPr>
        <w:t xml:space="preserve">[10] UNCTAD《Digital Economy Report 2024》电子商务销售额统计  </w:t>
      </w:r>
      <w:hyperlink r:id="rId20">
        <w:r>
          <w:rPr>
            <w:color w:val="E9562B"/>
            <w:u w:val="single"/>
          </w:rPr>
          <w:t>查看原文</w:t>
        </w:r>
      </w:hyperlink>
    </w:p>
    <w:p>
      <w:pPr>
        <w:spacing w:after="60"/>
        <w:ind w:left="317" w:hanging="317"/>
      </w:pPr>
      <w:r>
        <w:rPr>
          <w:rFonts w:ascii="Microsoft YaHei" w:hAnsi="Microsoft YaHei" w:eastAsia="Microsoft YaHei"/>
          <w:b w:val="0"/>
          <w:color w:val="292B30"/>
          <w:sz w:val="17"/>
        </w:rPr>
        <w:t xml:space="preserve">[11] 国际能源署《World Energy Investment 2025》  </w:t>
      </w:r>
      <w:hyperlink r:id="rId21">
        <w:r>
          <w:rPr>
            <w:color w:val="E9562B"/>
            <w:u w:val="single"/>
          </w:rPr>
          <w:t>查看原文</w:t>
        </w:r>
      </w:hyperlink>
    </w:p>
    <w:p>
      <w:pPr>
        <w:spacing w:after="60"/>
        <w:ind w:left="317" w:hanging="317"/>
      </w:pPr>
      <w:r>
        <w:rPr>
          <w:rFonts w:ascii="Microsoft YaHei" w:hAnsi="Microsoft YaHei" w:eastAsia="Microsoft YaHei"/>
          <w:b w:val="0"/>
          <w:color w:val="292B30"/>
          <w:sz w:val="17"/>
        </w:rPr>
        <w:t xml:space="preserve">[12] 沙特国家平台：Lenovo与Alat完成20亿美元投资并开工  </w:t>
      </w:r>
      <w:hyperlink r:id="rId22">
        <w:r>
          <w:rPr>
            <w:color w:val="E9562B"/>
            <w:u w:val="single"/>
          </w:rPr>
          <w:t>查看原文</w:t>
        </w:r>
      </w:hyperlink>
    </w:p>
    <w:p>
      <w:pPr>
        <w:spacing w:after="60"/>
        <w:ind w:left="317" w:hanging="317"/>
      </w:pPr>
      <w:r>
        <w:rPr>
          <w:rFonts w:ascii="Microsoft YaHei" w:hAnsi="Microsoft YaHei" w:eastAsia="Microsoft YaHei"/>
          <w:b w:val="0"/>
          <w:color w:val="292B30"/>
          <w:sz w:val="17"/>
        </w:rPr>
        <w:t xml:space="preserve">[13] 维多利亚州政府《中国战略》：Goldwind及汇付海外项目案例  </w:t>
      </w:r>
      <w:hyperlink r:id="rId23">
        <w:r>
          <w:rPr>
            <w:color w:val="E9562B"/>
            <w:u w:val="single"/>
          </w:rPr>
          <w:t>查看原文</w:t>
        </w:r>
      </w:hyperlink>
    </w:p>
    <w:p>
      <w:pPr>
        <w:spacing w:after="60"/>
        <w:ind w:left="317" w:hanging="317"/>
      </w:pPr>
      <w:r>
        <w:rPr>
          <w:rFonts w:ascii="Microsoft YaHei" w:hAnsi="Microsoft YaHei" w:eastAsia="Microsoft YaHei"/>
          <w:b w:val="0"/>
          <w:color w:val="292B30"/>
          <w:sz w:val="17"/>
        </w:rPr>
        <w:t xml:space="preserve">[14] 马来西亚投资发展局：柔新经济特区税务优惠及申请条件  </w:t>
      </w:r>
      <w:hyperlink r:id="rId24">
        <w:r>
          <w:rPr>
            <w:color w:val="E9562B"/>
            <w:u w:val="single"/>
          </w:rPr>
          <w:t>查看原文</w:t>
        </w:r>
      </w:hyperlink>
    </w:p>
    <w:p>
      <w:pPr>
        <w:spacing w:after="60"/>
        <w:ind w:left="317" w:hanging="317"/>
      </w:pPr>
      <w:r>
        <w:rPr>
          <w:rFonts w:ascii="Microsoft YaHei" w:hAnsi="Microsoft YaHei" w:eastAsia="Microsoft YaHei"/>
          <w:b w:val="0"/>
          <w:color w:val="292B30"/>
          <w:sz w:val="17"/>
        </w:rPr>
        <w:t xml:space="preserve">[15] 印尼投资与下游产业部2025年第5号条例：外资公司资本及投资规则  </w:t>
      </w:r>
      <w:hyperlink r:id="rId25">
        <w:r>
          <w:rPr>
            <w:color w:val="E9562B"/>
            <w:u w:val="single"/>
          </w:rPr>
          <w:t>查看原文</w:t>
        </w:r>
      </w:hyperlink>
    </w:p>
    <w:p>
      <w:pPr>
        <w:spacing w:after="60"/>
        <w:ind w:left="317" w:hanging="317"/>
      </w:pPr>
      <w:r>
        <w:rPr>
          <w:rFonts w:ascii="Microsoft YaHei" w:hAnsi="Microsoft YaHei" w:eastAsia="Microsoft YaHei"/>
          <w:b w:val="0"/>
          <w:color w:val="292B30"/>
          <w:sz w:val="17"/>
        </w:rPr>
        <w:t xml:space="preserve">[16] 马来西亚投资发展局：制造业股权政策  </w:t>
      </w:r>
      <w:hyperlink r:id="rId26">
        <w:r>
          <w:rPr>
            <w:color w:val="E9562B"/>
            <w:u w:val="single"/>
          </w:rPr>
          <w:t>查看原文</w:t>
        </w:r>
      </w:hyperlink>
    </w:p>
    <w:p>
      <w:pPr>
        <w:spacing w:after="60"/>
        <w:ind w:left="317" w:hanging="317"/>
      </w:pPr>
      <w:r>
        <w:rPr>
          <w:rFonts w:ascii="Microsoft YaHei" w:hAnsi="Microsoft YaHei" w:eastAsia="Microsoft YaHei"/>
          <w:b w:val="0"/>
          <w:color w:val="292B30"/>
          <w:sz w:val="17"/>
        </w:rPr>
        <w:t xml:space="preserve">[17] 欧盟委员会：外国直接投资审查框架  </w:t>
      </w:r>
      <w:hyperlink r:id="rId27">
        <w:r>
          <w:rPr>
            <w:color w:val="E9562B"/>
            <w:u w:val="single"/>
          </w:rPr>
          <w:t>查看原文</w:t>
        </w:r>
      </w:hyperlink>
    </w:p>
    <w:p>
      <w:pPr>
        <w:spacing w:after="60"/>
        <w:ind w:left="317" w:hanging="317"/>
      </w:pPr>
      <w:r>
        <w:rPr>
          <w:rFonts w:ascii="Microsoft YaHei" w:hAnsi="Microsoft YaHei" w:eastAsia="Microsoft YaHei"/>
          <w:b w:val="0"/>
          <w:color w:val="292B30"/>
          <w:sz w:val="17"/>
        </w:rPr>
        <w:t xml:space="preserve">[18] U.S. Treasury CFIUS reports and tables  </w:t>
      </w:r>
      <w:hyperlink r:id="rId28">
        <w:r>
          <w:rPr>
            <w:color w:val="E9562B"/>
            <w:u w:val="single"/>
          </w:rPr>
          <w:t>查看原文</w:t>
        </w:r>
      </w:hyperlink>
    </w:p>
    <w:p>
      <w:pPr>
        <w:spacing w:after="60"/>
        <w:ind w:left="317" w:hanging="317"/>
      </w:pPr>
      <w:r>
        <w:rPr>
          <w:rFonts w:ascii="Microsoft YaHei" w:hAnsi="Microsoft YaHei" w:eastAsia="Microsoft YaHei"/>
          <w:b w:val="0"/>
          <w:color w:val="292B30"/>
          <w:sz w:val="17"/>
        </w:rPr>
        <w:t xml:space="preserve">[19] 商务部等《2024年度中国对外直接投资统计公报》历史流量图表  </w:t>
      </w:r>
      <w:hyperlink r:id="rId29">
        <w:r>
          <w:rPr>
            <w:color w:val="E9562B"/>
            <w:u w:val="single"/>
          </w:rPr>
          <w:t>查看原文</w:t>
        </w:r>
      </w:hyperlink>
    </w:p>
    <w:p>
      <w:pPr>
        <w:pStyle w:val="Heading1"/>
        <w:keepNext/>
      </w:pPr>
      <w:r>
        <w:rPr>
          <w:rFonts w:ascii="Microsoft YaHei" w:hAnsi="Microsoft YaHei" w:eastAsia="Microsoft YaHei"/>
          <w:b/>
          <w:color w:val="17264C"/>
          <w:sz w:val="34"/>
        </w:rPr>
        <w:t>投资委员会初筛评分卡</w:t>
      </w:r>
    </w:p>
    <w:p>
      <w:pPr>
        <w:spacing w:after="140" w:line="307" w:lineRule="auto"/>
        <w:ind w:firstLine="403"/>
      </w:pPr>
      <w:r>
        <w:rPr>
          <w:rFonts w:ascii="Microsoft YaHei" w:hAnsi="Microsoft YaHei" w:eastAsia="Microsoft YaHei"/>
          <w:b w:val="0"/>
          <w:color w:val="292B30"/>
          <w:sz w:val="20"/>
        </w:rPr>
        <w:t>建议项目组在国家/地区初筛后，由业务、财务、法务合规和运营共同评分。权重和阈值是本报告提供的讨论模板，可按企业风险偏好调整；它们不是东道国法定标准，也不能替代尽职调查。每项按1—5分评分，5分代表证据充分且风险可控。</w:t>
      </w:r>
    </w:p>
    <w:tbl>
      <w:tblPr>
        <w:tblStyle w:val="TableGrid"/>
        <w:tblW w:type="auto" w:w="0"/>
        <w:jc w:val="center"/>
        <w:tblLayout w:type="autofit"/>
        <w:tblLook w:firstColumn="1" w:firstRow="1" w:lastColumn="0" w:lastRow="0" w:noHBand="0" w:noVBand="1" w:val="04A0"/>
      </w:tblPr>
      <w:tblGrid>
        <w:gridCol w:w="2498"/>
        <w:gridCol w:w="2498"/>
        <w:gridCol w:w="2498"/>
        <w:gridCol w:w="2498"/>
      </w:tblGrid>
      <w:tr>
        <w:trPr>
          <w:tblHeader w:val="true"/>
        </w:trPr>
        <w:tc>
          <w:tcPr>
            <w:tcW w:type="dxa" w:w="2498"/>
            <w:shd w:fill="17264C"/>
            <w:vAlign w:val="center"/>
            <w:tcMar>
              <w:top w:w="100" w:type="dxa"/>
              <w:start w:w="100" w:type="dxa"/>
              <w:bottom w:w="100" w:type="dxa"/>
              <w:end w:w="100" w:type="dxa"/>
            </w:tcMar>
          </w:tcPr>
          <w:p>
            <w:pPr>
              <w:spacing w:after="0" w:before="0"/>
            </w:pPr>
            <w:r/>
            <w:r>
              <w:rPr>
                <w:rFonts w:ascii="Microsoft YaHei" w:hAnsi="Microsoft YaHei" w:eastAsia="Microsoft YaHei"/>
                <w:b/>
                <w:color w:val="FFFFFF"/>
                <w:sz w:val="18"/>
              </w:rPr>
              <w:t>评分维度</w:t>
            </w:r>
          </w:p>
        </w:tc>
        <w:tc>
          <w:tcPr>
            <w:tcW w:type="dxa" w:w="2498"/>
            <w:shd w:fill="17264C"/>
            <w:vAlign w:val="center"/>
            <w:tcMar>
              <w:top w:w="100" w:type="dxa"/>
              <w:start w:w="100" w:type="dxa"/>
              <w:bottom w:w="100" w:type="dxa"/>
              <w:end w:w="100" w:type="dxa"/>
            </w:tcMar>
          </w:tcPr>
          <w:p>
            <w:pPr>
              <w:spacing w:after="0" w:before="0"/>
            </w:pPr>
            <w:r/>
            <w:r>
              <w:rPr>
                <w:rFonts w:ascii="Microsoft YaHei" w:hAnsi="Microsoft YaHei" w:eastAsia="Microsoft YaHei"/>
                <w:b/>
                <w:color w:val="FFFFFF"/>
                <w:sz w:val="18"/>
              </w:rPr>
              <w:t>权重</w:t>
            </w:r>
          </w:p>
        </w:tc>
        <w:tc>
          <w:tcPr>
            <w:tcW w:type="dxa" w:w="2498"/>
            <w:shd w:fill="17264C"/>
            <w:vAlign w:val="center"/>
            <w:tcMar>
              <w:top w:w="100" w:type="dxa"/>
              <w:start w:w="100" w:type="dxa"/>
              <w:bottom w:w="100" w:type="dxa"/>
              <w:end w:w="100" w:type="dxa"/>
            </w:tcMar>
          </w:tcPr>
          <w:p>
            <w:pPr>
              <w:spacing w:after="0" w:before="0"/>
            </w:pPr>
            <w:r/>
            <w:r>
              <w:rPr>
                <w:rFonts w:ascii="Microsoft YaHei" w:hAnsi="Microsoft YaHei" w:eastAsia="Microsoft YaHei"/>
                <w:b/>
                <w:color w:val="FFFFFF"/>
                <w:sz w:val="18"/>
              </w:rPr>
              <w:t>评分依据</w:t>
            </w:r>
          </w:p>
        </w:tc>
        <w:tc>
          <w:tcPr>
            <w:tcW w:type="dxa" w:w="2498"/>
            <w:shd w:fill="17264C"/>
            <w:vAlign w:val="center"/>
            <w:tcMar>
              <w:top w:w="100" w:type="dxa"/>
              <w:start w:w="100" w:type="dxa"/>
              <w:bottom w:w="100" w:type="dxa"/>
              <w:end w:w="100" w:type="dxa"/>
            </w:tcMar>
          </w:tcPr>
          <w:p>
            <w:pPr>
              <w:spacing w:after="0" w:before="0"/>
            </w:pPr>
            <w:r/>
            <w:r>
              <w:rPr>
                <w:rFonts w:ascii="Microsoft YaHei" w:hAnsi="Microsoft YaHei" w:eastAsia="Microsoft YaHei"/>
                <w:b/>
                <w:color w:val="FFFFFF"/>
                <w:sz w:val="18"/>
              </w:rPr>
              <w:t>项目评分（1—5）</w:t>
            </w:r>
          </w:p>
        </w:tc>
      </w:tr>
      <w:tr>
        <w:tc>
          <w:tcPr>
            <w:tcW w:type="dxa" w:w="249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客户需求与商业验证</w:t>
            </w:r>
          </w:p>
        </w:tc>
        <w:tc>
          <w:tcPr>
            <w:tcW w:type="dxa" w:w="249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20%</w:t>
            </w:r>
          </w:p>
        </w:tc>
        <w:tc>
          <w:tcPr>
            <w:tcW w:type="dxa" w:w="249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订单/试点、渠道、客户集中度和续约/复购</w:t>
            </w:r>
          </w:p>
        </w:tc>
        <w:tc>
          <w:tcPr>
            <w:tcW w:type="dxa" w:w="249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____</w:t>
            </w:r>
          </w:p>
        </w:tc>
      </w:tr>
      <w:tr>
        <w:tc>
          <w:tcPr>
            <w:tcW w:type="dxa" w:w="2498"/>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单位经济性与现金流</w:t>
            </w:r>
          </w:p>
        </w:tc>
        <w:tc>
          <w:tcPr>
            <w:tcW w:type="dxa" w:w="2498"/>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20%</w:t>
            </w:r>
          </w:p>
        </w:tc>
        <w:tc>
          <w:tcPr>
            <w:tcW w:type="dxa" w:w="2498"/>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毛利、资本强度、回款、利用率和盈亏平衡</w:t>
            </w:r>
          </w:p>
        </w:tc>
        <w:tc>
          <w:tcPr>
            <w:tcW w:type="dxa" w:w="2498"/>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____</w:t>
            </w:r>
          </w:p>
        </w:tc>
      </w:tr>
      <w:tr>
        <w:tc>
          <w:tcPr>
            <w:tcW w:type="dxa" w:w="249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准入许可与技术合规</w:t>
            </w:r>
          </w:p>
        </w:tc>
        <w:tc>
          <w:tcPr>
            <w:tcW w:type="dxa" w:w="249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15%</w:t>
            </w:r>
          </w:p>
        </w:tc>
        <w:tc>
          <w:tcPr>
            <w:tcW w:type="dxa" w:w="249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股权/资本要求、牌照、数据/产品/出口管制</w:t>
            </w:r>
          </w:p>
        </w:tc>
        <w:tc>
          <w:tcPr>
            <w:tcW w:type="dxa" w:w="249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____</w:t>
            </w:r>
          </w:p>
        </w:tc>
      </w:tr>
      <w:tr>
        <w:tc>
          <w:tcPr>
            <w:tcW w:type="dxa" w:w="2498"/>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供应链与选址适配</w:t>
            </w:r>
          </w:p>
        </w:tc>
        <w:tc>
          <w:tcPr>
            <w:tcW w:type="dxa" w:w="2498"/>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15%</w:t>
            </w:r>
          </w:p>
        </w:tc>
        <w:tc>
          <w:tcPr>
            <w:tcW w:type="dxa" w:w="2498"/>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关键投入、园区资格、能源/物流和替代来源</w:t>
            </w:r>
          </w:p>
        </w:tc>
        <w:tc>
          <w:tcPr>
            <w:tcW w:type="dxa" w:w="2498"/>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____</w:t>
            </w:r>
          </w:p>
        </w:tc>
      </w:tr>
      <w:tr>
        <w:tc>
          <w:tcPr>
            <w:tcW w:type="dxa" w:w="249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资本效率与分期能力</w:t>
            </w:r>
          </w:p>
        </w:tc>
        <w:tc>
          <w:tcPr>
            <w:tcW w:type="dxa" w:w="249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15%</w:t>
            </w:r>
          </w:p>
        </w:tc>
        <w:tc>
          <w:tcPr>
            <w:tcW w:type="dxa" w:w="249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阶段性投入、超支控制、融资与政策依赖</w:t>
            </w:r>
          </w:p>
        </w:tc>
        <w:tc>
          <w:tcPr>
            <w:tcW w:type="dxa" w:w="249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____</w:t>
            </w:r>
          </w:p>
        </w:tc>
      </w:tr>
      <w:tr>
        <w:tc>
          <w:tcPr>
            <w:tcW w:type="dxa" w:w="2498"/>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环境社会、治理与退出</w:t>
            </w:r>
          </w:p>
        </w:tc>
        <w:tc>
          <w:tcPr>
            <w:tcW w:type="dxa" w:w="2498"/>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15%</w:t>
            </w:r>
          </w:p>
        </w:tc>
        <w:tc>
          <w:tcPr>
            <w:tcW w:type="dxa" w:w="2498"/>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劳工/环境、合资安排、审计证据及退出路径</w:t>
            </w:r>
          </w:p>
        </w:tc>
        <w:tc>
          <w:tcPr>
            <w:tcW w:type="dxa" w:w="2498"/>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____</w:t>
            </w:r>
          </w:p>
        </w:tc>
      </w:tr>
    </w:tbl>
    <w:p>
      <w:pPr>
        <w:spacing w:after="140" w:line="307" w:lineRule="auto"/>
        <w:ind w:firstLine="403"/>
      </w:pPr>
      <w:r>
        <w:rPr>
          <w:rFonts w:ascii="Microsoft YaHei" w:hAnsi="Microsoft YaHei" w:eastAsia="Microsoft YaHei"/>
          <w:b w:val="0"/>
          <w:color w:val="292B30"/>
          <w:sz w:val="20"/>
        </w:rPr>
        <w:t>计算建议：加权得分＝Σ（单项评分×权重）÷5。可将低于60分设为暂缓，60—75分进入补充尽调，高于75分提交正式立项审议；若外资准入、关键许可、土地权属或资金来源存在未解决的否决性问题，不因总分较高而跳过先决条件。</w:t>
      </w:r>
    </w:p>
    <w:tbl>
      <w:tblPr>
        <w:tblW w:type="auto" w:w="0"/>
        <w:jc w:val="center"/>
        <w:tblLook w:firstColumn="1" w:firstRow="1" w:lastColumn="0" w:lastRow="0" w:noHBand="0" w:noVBand="1" w:val="04A0"/>
      </w:tblPr>
      <w:tblGrid>
        <w:gridCol w:w="9994"/>
      </w:tblGrid>
      <w:tr>
        <w:tc>
          <w:tcPr>
            <w:tcW w:type="dxa" w:w="9994"/>
            <w:shd w:fill="F3F5F8"/>
            <w:tcMar>
              <w:top w:w="160" w:type="dxa"/>
              <w:start w:w="200" w:type="dxa"/>
              <w:bottom w:w="160" w:type="dxa"/>
              <w:end w:w="200" w:type="dxa"/>
            </w:tcMar>
          </w:tcPr>
          <w:p>
            <w:pPr>
              <w:spacing w:after="60"/>
            </w:pPr>
            <w:r/>
            <w:r>
              <w:rPr>
                <w:rFonts w:ascii="Microsoft YaHei" w:hAnsi="Microsoft YaHei" w:eastAsia="Microsoft YaHei"/>
                <w:b/>
                <w:color w:val="E9562B"/>
                <w:sz w:val="18"/>
              </w:rPr>
              <w:t>投资决策使用提示</w:t>
            </w:r>
          </w:p>
          <w:p>
            <w:pPr>
              <w:spacing w:after="0" w:line="288" w:lineRule="auto"/>
            </w:pPr>
            <w:r>
              <w:rPr>
                <w:rFonts w:ascii="Microsoft YaHei" w:hAnsi="Microsoft YaHei" w:eastAsia="Microsoft YaHei"/>
                <w:b w:val="0"/>
                <w:color w:val="292B30"/>
                <w:sz w:val="20"/>
              </w:rPr>
              <w:t>本报告用于形成市场初筛和尽调议题清单，不构成法律、税务、审计或投资建议。涉及持股比例、最低资本、实缴期限、园区激励和行业许可的具体项目，应以投资地主管机关最新正式规则及书面批准为准。</w:t>
            </w:r>
          </w:p>
        </w:tc>
      </w:tr>
    </w:tbl>
    <w:sectPr w:rsidR="00FC693F" w:rsidRPr="0006063C" w:rsidSect="00034616">
      <w:headerReference w:type="default" r:id="rId9"/>
      <w:footerReference w:type="default" r:id="rId10"/>
      <w:pgSz w:w="12240" w:h="15840"/>
      <w:pgMar w:top="1037" w:right="1123" w:bottom="1037" w:left="1123" w:header="432" w:footer="461"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jc w:val="center"/>
    </w:pPr>
    <w:r>
      <w:rPr>
        <w:rFonts w:ascii="Microsoft YaHei" w:hAnsi="Microsoft YaHei" w:eastAsia="Microsoft YaHei"/>
        <w:b w:val="0"/>
        <w:color w:val="69717E"/>
        <w:sz w:val="16"/>
      </w:rPr>
      <w:t xml:space="preserve">上海乾桥禾融企业咨询有限公司  ·  2026年10月22日  ·  </w:t>
    </w:r>
    <w:r>
      <w:rPr>
        <w:rFonts w:ascii="Microsoft YaHei" w:hAnsi="Microsoft YaHei" w:eastAsia="Microsoft YaHei"/>
        <w:b w:val="0"/>
        <w:color w:val="69717E"/>
        <w:sz w:val="16"/>
      </w:rP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right"/>
    </w:pPr>
    <w:r>
      <w:rPr>
        <w:rFonts w:ascii="Microsoft YaHei" w:hAnsi="Microsoft YaHei" w:eastAsia="Microsoft YaHei"/>
        <w:b/>
        <w:color w:val="17264C"/>
        <w:sz w:val="16"/>
      </w:rPr>
      <w:t>乾桥禾融  |  企业出海研究系列</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Microsoft YaHei" w:hAnsi="Microsoft YaHei" w:eastAsia="Microsoft YaHei"/>
      <w:color w:val="292B3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ascii="Microsoft YaHei" w:hAnsi="Microsoft YaHei" w:eastAsia="Microsoft YaHei"/>
      <w:b/>
      <w:bCs/>
      <w:color w:val="17264C"/>
      <w:sz w:val="34"/>
      <w:szCs w:val="28"/>
    </w:rPr>
  </w:style>
  <w:style w:type="paragraph" w:styleId="Heading2">
    <w:name w:val="heading 2"/>
    <w:basedOn w:val="Normal"/>
    <w:next w:val="Normal"/>
    <w:link w:val="Heading2Char"/>
    <w:uiPriority w:val="9"/>
    <w:unhideWhenUsed/>
    <w:qFormat/>
    <w:rsid w:val="00FC693F"/>
    <w:pPr>
      <w:keepNext/>
      <w:keepLines/>
      <w:spacing w:before="160" w:after="100"/>
      <w:outlineLvl w:val="1"/>
    </w:pPr>
    <w:rPr>
      <w:rFonts w:asciiTheme="majorHAnsi" w:eastAsiaTheme="majorEastAsia" w:hAnsiTheme="majorHAnsi" w:cstheme="majorBidi" w:ascii="Microsoft YaHei" w:hAnsi="Microsoft YaHei" w:eastAsia="Microsoft YaHei"/>
      <w:b/>
      <w:bCs/>
      <w:color w:val="A86B4F"/>
      <w:sz w:val="24"/>
      <w:szCs w:val="26"/>
    </w:rPr>
  </w:style>
  <w:style w:type="paragraph" w:styleId="Heading3">
    <w:name w:val="heading 3"/>
    <w:basedOn w:val="Normal"/>
    <w:next w:val="Normal"/>
    <w:link w:val="Heading3Char"/>
    <w:uiPriority w:val="9"/>
    <w:unhideWhenUsed/>
    <w:qFormat/>
    <w:rsid w:val="00FC693F"/>
    <w:pPr>
      <w:keepNext/>
      <w:keepLines/>
      <w:spacing w:before="160" w:after="100"/>
      <w:outlineLvl w:val="2"/>
    </w:pPr>
    <w:rPr>
      <w:rFonts w:asciiTheme="majorHAnsi" w:eastAsiaTheme="majorEastAsia" w:hAnsiTheme="majorHAnsi" w:cstheme="majorBidi" w:ascii="Microsoft YaHei" w:hAnsi="Microsoft YaHei" w:eastAsia="Microsoft YaHei"/>
      <w:b/>
      <w:bCs/>
      <w:color w:val="E9562B"/>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hyperlink" Target="https://www.stats.gov.cn/sj/zxfb/202602/t20260228_1962662.html" TargetMode="External"/><Relationship Id="rId13" Type="http://schemas.openxmlformats.org/officeDocument/2006/relationships/hyperlink" Target="https://www.mofcom.gov.cn/zfxxgk/gkml/art/2026/art_5135ff712b8f4bdc804374d2d29ff9f0.html" TargetMode="External"/><Relationship Id="rId14" Type="http://schemas.openxmlformats.org/officeDocument/2006/relationships/hyperlink" Target="https://rhg.com/research/chinas-global-investment-grew-in-2025-but-exports-outpaced-offshoring/" TargetMode="External"/><Relationship Id="rId15" Type="http://schemas.openxmlformats.org/officeDocument/2006/relationships/hyperlink" Target="https://unctad.org/news/global-investment-rises-6-16-trillion-development-gains-remain-uneven" TargetMode="External"/><Relationship Id="rId16" Type="http://schemas.openxmlformats.org/officeDocument/2006/relationships/hyperlink" Target="https://www.ey.com/zh_cn/newsroom/2026/02/ey-releases-the-overview-of-china-outbound-investment-of-2025" TargetMode="External"/><Relationship Id="rId17" Type="http://schemas.openxmlformats.org/officeDocument/2006/relationships/hyperlink" Target="https://eur-lex.europa.eu/legal-content/EN/TXT/?uri=celex:52025DC0632" TargetMode="External"/><Relationship Id="rId18" Type="http://schemas.openxmlformats.org/officeDocument/2006/relationships/hyperlink" Target="https://www.mofcom.gov.cn/zfxxgk/fdzdgknr/ztfl/tjsj/gwjjhztj/art/2026/art_708927a77336454da43ef9b9af84e06f.html" TargetMode="External"/><Relationship Id="rId19" Type="http://schemas.openxmlformats.org/officeDocument/2006/relationships/hyperlink" Target="https://fec.mofcom.gov.cn/article/zyfw/hybg/qtbg/202602/3959.html" TargetMode="External"/><Relationship Id="rId20" Type="http://schemas.openxmlformats.org/officeDocument/2006/relationships/hyperlink" Target="https://unctad.org/publication/business-e-commerce-sales-and-role-online-platforms" TargetMode="External"/><Relationship Id="rId21" Type="http://schemas.openxmlformats.org/officeDocument/2006/relationships/hyperlink" Target="https://www.iea.org/reports/world-energy-investment-2025/executive-summary" TargetMode="External"/><Relationship Id="rId22" Type="http://schemas.openxmlformats.org/officeDocument/2006/relationships/hyperlink" Target="https://my.gov.sa/en/news/16995" TargetMode="External"/><Relationship Id="rId23" Type="http://schemas.openxmlformats.org/officeDocument/2006/relationships/hyperlink" Target="https://www.vic.gov.au/sites/default/files/2025-09/Victorias-China-Strategy-For-a-New-Golden-Era.pdf" TargetMode="External"/><Relationship Id="rId24" Type="http://schemas.openxmlformats.org/officeDocument/2006/relationships/hyperlink" Target="https://www.mida.gov.my/forms-and-guidelines/js-sez-tax-incentive-package/" TargetMode="External"/><Relationship Id="rId25" Type="http://schemas.openxmlformats.org/officeDocument/2006/relationships/hyperlink" Target="https://jdih-storage.bkpm.go.id/jdih/jdih/2025Permeninvest005Eng-.pdf" TargetMode="External"/><Relationship Id="rId26" Type="http://schemas.openxmlformats.org/officeDocument/2006/relationships/hyperlink" Target="https://www.mida.gov.my/setting-up-content/equity-policy-protect-foreign-investment/" TargetMode="External"/><Relationship Id="rId27" Type="http://schemas.openxmlformats.org/officeDocument/2006/relationships/hyperlink" Target="https://policy.trade.ec.europa.eu/enforcement-and-protection/investment-screening_en" TargetMode="External"/><Relationship Id="rId28" Type="http://schemas.openxmlformats.org/officeDocument/2006/relationships/hyperlink" Target="https://cfius.gov/resources/reports-and-tables/" TargetMode="External"/><Relationship Id="rId29" Type="http://schemas.openxmlformats.org/officeDocument/2006/relationships/hyperlink" Target="https://www.mofcom.gov.cn/cms_files/filemanager/1077459795/attach/20255/b62b8a78eadd4f92898d27286fd5209b.pdf?fileName=2024%E5%B9%B4%E4%B8%AD%E5%9B%BD%E5%AF%B9%E5%A4%96%E7%9B%B4%E6%8E%A5%E6%8A%95%E8%B5%84%E7%BB%9F%E8%AE%A1%E5%85%AC%E6%8A%A5-%E4%B8%AD%E6%96%87%E9%83%A8%E5%88%86.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中国企业海外科技与数字服务投资白皮书</dc:title>
  <dc:subject>中国企业海外直接投资与经营布局</dc:subject>
  <dc:creator>上海乾桥禾融企业咨询有限公司</dc:creator>
  <cp:keywords>ODI, 出海, 境外投资, 乾桥禾融</cp:keywords>
  <dc:description>generated by python-docx</dc:description>
  <cp:lastModifiedBy/>
  <cp:revision>1</cp:revision>
  <dcterms:created xsi:type="dcterms:W3CDTF">2013-12-23T23:15:00Z</dcterms:created>
  <dcterms:modified xsi:type="dcterms:W3CDTF">2013-12-23T23:15:00Z</dcterms:modified>
  <cp:category/>
</cp:coreProperties>
</file>