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Lines/>
        <w:spacing w:before="40" w:after="480"/>
      </w:pPr>
      <w:r>
        <w:drawing>
          <wp:inline xmlns:a="http://schemas.openxmlformats.org/drawingml/2006/main" xmlns:pic="http://schemas.openxmlformats.org/drawingml/2006/picture">
            <wp:extent cx="475488" cy="475488"/>
            <wp:docPr id="1" name="Picture 1"/>
            <wp:cNvGraphicFramePr>
              <a:graphicFrameLocks noChangeAspect="1"/>
            </wp:cNvGraphicFramePr>
            <a:graphic>
              <a:graphicData uri="http://schemas.openxmlformats.org/drawingml/2006/picture">
                <pic:pic>
                  <pic:nvPicPr>
                    <pic:cNvPr id="0" name="qianqiao-logo.png"/>
                    <pic:cNvPicPr/>
                  </pic:nvPicPr>
                  <pic:blipFill>
                    <a:blip r:embed="rId11"/>
                    <a:stretch>
                      <a:fillRect/>
                    </a:stretch>
                  </pic:blipFill>
                  <pic:spPr>
                    <a:xfrm>
                      <a:off x="0" y="0"/>
                      <a:ext cx="475488" cy="475488"/>
                    </a:xfrm>
                    <a:prstGeom prst="rect"/>
                  </pic:spPr>
                </pic:pic>
              </a:graphicData>
            </a:graphic>
          </wp:inline>
        </w:drawing>
      </w:r>
      <w:r>
        <w:rPr>
          <w:rFonts w:ascii="Microsoft YaHei" w:hAnsi="Microsoft YaHei" w:eastAsia="Microsoft YaHei"/>
          <w:b/>
          <w:color w:val="17264C"/>
          <w:sz w:val="18"/>
        </w:rPr>
        <w:t xml:space="preserve">   乾桥禾融研究系列  |  上海乾桥禾融企业咨询有限公司</w:t>
      </w:r>
    </w:p>
    <w:p>
      <w:pPr>
        <w:spacing w:before="80" w:after="160"/>
      </w:pPr>
      <w:r>
        <w:rPr>
          <w:rFonts w:ascii="Microsoft YaHei" w:hAnsi="Microsoft YaHei" w:eastAsia="Microsoft YaHei"/>
          <w:b/>
          <w:color w:val="E9562B"/>
          <w:sz w:val="17"/>
        </w:rPr>
        <w:t>QIANQIAO INSIGHT   /   行业研究   /   2026</w:t>
      </w:r>
    </w:p>
    <w:p>
      <w:pPr>
        <w:keepNext/>
        <w:keepLines/>
        <w:spacing w:before="40" w:after="160" w:line="259" w:lineRule="auto"/>
      </w:pPr>
      <w:r>
        <w:rPr>
          <w:rFonts w:ascii="Microsoft YaHei" w:hAnsi="Microsoft YaHei" w:eastAsia="Microsoft YaHei"/>
          <w:b/>
          <w:color w:val="17264C"/>
          <w:sz w:val="51"/>
        </w:rPr>
        <w:t>中国企业海外新能源与关键矿产投资白皮书</w:t>
      </w:r>
    </w:p>
    <w:p>
      <w:pPr>
        <w:keepNext/>
        <w:spacing w:after="220"/>
        <w:pBdr>
          <w:bottom w:val="single" w:sz="20" w:space="8" w:color="E9562B"/>
        </w:pBdr>
      </w:pPr>
      <w:r>
        <w:rPr>
          <w:rFonts w:ascii="Microsoft YaHei" w:hAnsi="Microsoft YaHei" w:eastAsia="Microsoft YaHei"/>
          <w:b w:val="0"/>
          <w:color w:val="A86B4F"/>
          <w:sz w:val="28"/>
        </w:rPr>
        <w:t>资源保障、绿色产能与循环利用的跨境协同</w:t>
      </w:r>
    </w:p>
    <w:tbl>
      <w:tblPr>
        <w:tblW w:type="auto" w:w="0"/>
        <w:tblLook w:firstColumn="1" w:firstRow="1" w:lastColumn="0" w:lastRow="0" w:noHBand="0" w:noVBand="1" w:val="04A0"/>
      </w:tblPr>
      <w:tblGrid>
        <w:gridCol w:w="9994"/>
      </w:tblGrid>
      <w:tr>
        <w:tc>
          <w:tcPr>
            <w:tcW w:type="dxa" w:w="9994"/>
            <w:shd w:fill="F3F5F8"/>
            <w:tcMar>
              <w:top w:w="190" w:type="dxa"/>
              <w:start w:w="220" w:type="dxa"/>
              <w:bottom w:w="190" w:type="dxa"/>
              <w:end w:w="220" w:type="dxa"/>
            </w:tcMar>
          </w:tcPr>
          <w:p>
            <w:pPr>
              <w:spacing w:after="100"/>
            </w:pPr>
            <w:r/>
            <w:r>
              <w:rPr>
                <w:rFonts w:ascii="Microsoft YaHei" w:hAnsi="Microsoft YaHei" w:eastAsia="Microsoft YaHei"/>
                <w:b/>
                <w:color w:val="E9562B"/>
                <w:sz w:val="18"/>
              </w:rPr>
              <w:t>研究要点</w:t>
            </w:r>
          </w:p>
          <w:p>
            <w:pPr>
              <w:spacing w:after="0" w:line="295" w:lineRule="auto"/>
            </w:pPr>
            <w:r>
              <w:rPr>
                <w:rFonts w:ascii="Microsoft YaHei" w:hAnsi="Microsoft YaHei" w:eastAsia="Microsoft YaHei"/>
                <w:b w:val="0"/>
                <w:color w:val="292B30"/>
                <w:sz w:val="21"/>
              </w:rPr>
              <w:t>新能源海外投资不再只有电站或矿权，正扩展至关键矿物加工、电池材料、制造、回收和储能。全链条能分散单点供应风险，却也叠加了资源权属、环境社会、技术、合资治理和产品溯源责任。</w:t>
            </w:r>
          </w:p>
        </w:tc>
      </w:tr>
    </w:tbl>
    <w:p>
      <w:pPr>
        <w:spacing w:after="0"/>
      </w:pPr>
    </w:p>
    <w:tbl>
      <w:tblPr>
        <w:tblW w:type="auto" w:w="0"/>
        <w:jc w:val="center"/>
        <w:tblLayout w:type="fixed"/>
        <w:tblLook w:firstColumn="1" w:firstRow="1" w:lastColumn="0" w:lastRow="0" w:noHBand="0" w:noVBand="1" w:val="04A0"/>
      </w:tblPr>
      <w:tblGrid>
        <w:gridCol w:w="3331"/>
        <w:gridCol w:w="3331"/>
        <w:gridCol w:w="3331"/>
      </w:tblGrid>
      <w:tr>
        <w:tc>
          <w:tcPr>
            <w:tcW w:type="dxa" w:w="2995"/>
            <w:shd w:fill="F3F5F8"/>
            <w:tcMar>
              <w:top w:w="180" w:type="dxa"/>
              <w:start w:w="150" w:type="dxa"/>
              <w:bottom w:w="180" w:type="dxa"/>
              <w:end w:w="150" w:type="dxa"/>
            </w:tcMar>
          </w:tcPr>
          <w:p>
            <w:pPr>
              <w:spacing w:after="60"/>
              <w:jc w:val="center"/>
            </w:pPr>
            <w:r/>
            <w:r>
              <w:rPr>
                <w:rFonts w:ascii="Microsoft YaHei" w:hAnsi="Microsoft YaHei" w:eastAsia="Microsoft YaHei"/>
                <w:b/>
                <w:color w:val="17264C"/>
                <w:sz w:val="30"/>
              </w:rPr>
              <w:t>801亿元</w:t>
            </w:r>
          </w:p>
          <w:p>
            <w:pPr>
              <w:spacing w:after="40"/>
              <w:jc w:val="center"/>
            </w:pPr>
            <w:r>
              <w:rPr>
                <w:rFonts w:ascii="Microsoft YaHei" w:hAnsi="Microsoft YaHei" w:eastAsia="Microsoft YaHei"/>
                <w:b/>
                <w:color w:val="292B30"/>
                <w:sz w:val="17"/>
              </w:rPr>
              <w:t>2025年非金融类采矿业 ODI</w:t>
            </w:r>
          </w:p>
          <w:p>
            <w:pPr>
              <w:spacing w:after="0"/>
              <w:jc w:val="center"/>
            </w:pPr>
            <w:r>
              <w:rPr>
                <w:rFonts w:ascii="Microsoft YaHei" w:hAnsi="Microsoft YaHei" w:eastAsia="Microsoft YaHei"/>
                <w:b w:val="0"/>
                <w:color w:val="69717E"/>
                <w:sz w:val="16"/>
              </w:rPr>
              <w:t>同比 -10.3%</w:t>
            </w:r>
          </w:p>
        </w:tc>
        <w:tc>
          <w:tcPr>
            <w:tcW w:type="dxa" w:w="2995"/>
            <w:shd w:fill="F3F5F8"/>
            <w:tcMar>
              <w:top w:w="180" w:type="dxa"/>
              <w:start w:w="150" w:type="dxa"/>
              <w:bottom w:w="180" w:type="dxa"/>
              <w:end w:w="150" w:type="dxa"/>
            </w:tcMar>
          </w:tcPr>
          <w:p>
            <w:pPr>
              <w:spacing w:after="60"/>
              <w:jc w:val="center"/>
            </w:pPr>
            <w:r/>
            <w:r>
              <w:rPr>
                <w:rFonts w:ascii="Microsoft YaHei" w:hAnsi="Microsoft YaHei" w:eastAsia="Microsoft YaHei"/>
                <w:b/>
                <w:color w:val="17264C"/>
                <w:sz w:val="30"/>
              </w:rPr>
              <w:t>460.5亿美元</w:t>
            </w:r>
          </w:p>
          <w:p>
            <w:pPr>
              <w:spacing w:after="40"/>
              <w:jc w:val="center"/>
            </w:pPr>
            <w:r>
              <w:rPr>
                <w:rFonts w:ascii="Microsoft YaHei" w:hAnsi="Microsoft YaHei" w:eastAsia="Microsoft YaHei"/>
                <w:b/>
                <w:color w:val="292B30"/>
                <w:sz w:val="17"/>
              </w:rPr>
              <w:t>2025年中国对共建“一带一路”国家 ODI</w:t>
            </w:r>
          </w:p>
          <w:p>
            <w:pPr>
              <w:spacing w:after="0"/>
              <w:jc w:val="center"/>
            </w:pPr>
            <w:r>
              <w:rPr>
                <w:rFonts w:ascii="Microsoft YaHei" w:hAnsi="Microsoft YaHei" w:eastAsia="Microsoft YaHei"/>
                <w:b w:val="0"/>
                <w:color w:val="69717E"/>
                <w:sz w:val="16"/>
              </w:rPr>
              <w:t>同比增长 21.6% 流量占比</w:t>
            </w:r>
          </w:p>
        </w:tc>
        <w:tc>
          <w:tcPr>
            <w:tcW w:type="dxa" w:w="2995"/>
            <w:shd w:fill="F3F5F8"/>
            <w:tcMar>
              <w:top w:w="180" w:type="dxa"/>
              <w:start w:w="150" w:type="dxa"/>
              <w:bottom w:w="180" w:type="dxa"/>
              <w:end w:w="150" w:type="dxa"/>
            </w:tcMar>
          </w:tcPr>
          <w:p>
            <w:pPr>
              <w:spacing w:after="60"/>
              <w:jc w:val="center"/>
            </w:pPr>
            <w:r/>
            <w:r>
              <w:rPr>
                <w:rFonts w:ascii="Microsoft YaHei" w:hAnsi="Microsoft YaHei" w:eastAsia="Microsoft YaHei"/>
                <w:b/>
                <w:color w:val="17264C"/>
                <w:sz w:val="30"/>
              </w:rPr>
              <w:t>近60亿美元</w:t>
            </w:r>
          </w:p>
          <w:p>
            <w:pPr>
              <w:spacing w:after="40"/>
              <w:jc w:val="center"/>
            </w:pPr>
            <w:r>
              <w:rPr>
                <w:rFonts w:ascii="Microsoft YaHei" w:hAnsi="Microsoft YaHei" w:eastAsia="Microsoft YaHei"/>
                <w:b/>
                <w:color w:val="292B30"/>
                <w:sz w:val="17"/>
              </w:rPr>
              <w:t>CATL 印尼电池产业链项目规划投资</w:t>
            </w:r>
          </w:p>
          <w:p>
            <w:pPr>
              <w:spacing w:after="0"/>
              <w:jc w:val="center"/>
            </w:pPr>
            <w:r>
              <w:rPr>
                <w:rFonts w:ascii="Microsoft YaHei" w:hAnsi="Microsoft YaHei" w:eastAsia="Microsoft YaHei"/>
                <w:b w:val="0"/>
                <w:color w:val="69717E"/>
                <w:sz w:val="16"/>
              </w:rPr>
              <w:t>2025年启动</w:t>
            </w:r>
          </w:p>
        </w:tc>
      </w:tr>
    </w:tbl>
    <w:p>
      <w:pPr>
        <w:spacing w:after="0"/>
      </w:pPr>
    </w:p>
    <w:p>
      <w:pPr>
        <w:spacing w:before="180" w:after="60"/>
      </w:pPr>
      <w:r>
        <w:rPr>
          <w:rFonts w:ascii="Microsoft YaHei" w:hAnsi="Microsoft YaHei" w:eastAsia="Microsoft YaHei"/>
          <w:b w:val="0"/>
          <w:color w:val="69717E"/>
          <w:sz w:val="17"/>
        </w:rPr>
        <w:t>研究对象  /  中国企业境外直接投资及相关产业项目</w:t>
      </w:r>
    </w:p>
    <w:p>
      <w:r>
        <w:rPr>
          <w:rFonts w:ascii="Microsoft YaHei" w:hAnsi="Microsoft YaHei" w:eastAsia="Microsoft YaHei"/>
          <w:b w:val="0"/>
          <w:color w:val="69717E"/>
          <w:sz w:val="17"/>
        </w:rPr>
        <w:t>数据截点：截至 2026年10月22日 可查的公开资料；2025 年年度 ODI 采用三部门统计公报最终口径，较早发布的初步统计单独标注。</w:t>
      </w:r>
    </w:p>
    <w:p>
      <w:pPr>
        <w:pStyle w:val="Heading1"/>
        <w:keepNext/>
        <w:pageBreakBefore/>
      </w:pPr>
      <w:r>
        <w:rPr>
          <w:rFonts w:ascii="Microsoft YaHei" w:hAnsi="Microsoft YaHei" w:eastAsia="Microsoft YaHei"/>
          <w:b/>
          <w:color w:val="17264C"/>
          <w:sz w:val="34"/>
        </w:rPr>
        <w:t>一  核心判断与投资脉络</w:t>
      </w:r>
    </w:p>
    <w:p>
      <w:pPr>
        <w:pStyle w:val="ListBullet"/>
        <w:spacing w:after="80" w:line="283" w:lineRule="auto"/>
        <w:ind w:left="346" w:hanging="202"/>
      </w:pPr>
      <w:r>
        <w:rPr>
          <w:rFonts w:ascii="Microsoft YaHei" w:hAnsi="Microsoft YaHei" w:eastAsia="Microsoft YaHei"/>
          <w:b w:val="0"/>
          <w:color w:val="292B30"/>
          <w:sz w:val="19"/>
        </w:rPr>
        <w:t>2025年非金融 ODI 采矿业金额801亿元人民币，同比下降10.3%；全行业报告同时指出绿色低碳和绿色矿产是拓展方向，不能将结构性方向等同于当年行业投资额增长。</w:t>
      </w:r>
    </w:p>
    <w:p>
      <w:pPr>
        <w:pStyle w:val="ListBullet"/>
        <w:spacing w:after="80" w:line="283" w:lineRule="auto"/>
        <w:ind w:left="346" w:hanging="202"/>
      </w:pPr>
      <w:r>
        <w:rPr>
          <w:rFonts w:ascii="Microsoft YaHei" w:hAnsi="Microsoft YaHei" w:eastAsia="Microsoft YaHei"/>
          <w:b w:val="0"/>
          <w:color w:val="292B30"/>
          <w:sz w:val="19"/>
        </w:rPr>
        <w:t>EY统计的海外并购数据显示2025年采矿与金属行业交易金额增长；该指标是公告并购交易，不能替代采矿业 ODI 流量。</w:t>
      </w:r>
    </w:p>
    <w:p>
      <w:pPr>
        <w:pStyle w:val="ListBullet"/>
        <w:spacing w:after="80" w:line="283" w:lineRule="auto"/>
        <w:ind w:left="346" w:hanging="202"/>
      </w:pPr>
      <w:r>
        <w:rPr>
          <w:rFonts w:ascii="Microsoft YaHei" w:hAnsi="Microsoft YaHei" w:eastAsia="Microsoft YaHei"/>
          <w:b w:val="0"/>
          <w:color w:val="292B30"/>
          <w:sz w:val="19"/>
        </w:rPr>
        <w:t>项目从资源到材料、制造、回收一体化，有助于控制供应链，但投资者需要验证每一环节的许可、经济性和社区影响。</w:t>
      </w:r>
    </w:p>
    <w:tbl>
      <w:tblPr>
        <w:tblW w:type="auto" w:w="0"/>
        <w:jc w:val="center"/>
        <w:tblLook w:firstColumn="1" w:firstRow="1" w:lastColumn="0" w:lastRow="0" w:noHBand="0" w:noVBand="1" w:val="04A0"/>
      </w:tblPr>
      <w:tblGrid>
        <w:gridCol w:w="9994"/>
      </w:tblGrid>
      <w:tr>
        <w:tc>
          <w:tcPr>
            <w:tcW w:type="dxa" w:w="9994"/>
            <w:shd w:fill="FFF2EC"/>
            <w:tcMar>
              <w:top w:w="160" w:type="dxa"/>
              <w:start w:w="200" w:type="dxa"/>
              <w:bottom w:w="160" w:type="dxa"/>
              <w:end w:w="200" w:type="dxa"/>
            </w:tcMar>
          </w:tcPr>
          <w:p>
            <w:pPr>
              <w:spacing w:after="60"/>
            </w:pPr>
            <w:r/>
            <w:r>
              <w:rPr>
                <w:rFonts w:ascii="Microsoft YaHei" w:hAnsi="Microsoft YaHei" w:eastAsia="Microsoft YaHei"/>
                <w:b/>
                <w:color w:val="E9562B"/>
                <w:sz w:val="18"/>
              </w:rPr>
              <w:t>阅读提示</w:t>
            </w:r>
          </w:p>
          <w:p>
            <w:pPr>
              <w:spacing w:after="0" w:line="288" w:lineRule="auto"/>
            </w:pPr>
            <w:r>
              <w:rPr>
                <w:rFonts w:ascii="Microsoft YaHei" w:hAnsi="Microsoft YaHei" w:eastAsia="Microsoft YaHei"/>
                <w:b w:val="0"/>
                <w:color w:val="292B30"/>
                <w:sz w:val="20"/>
              </w:rPr>
              <w:t>本报告把官方 ODI 流量、并购公告、项目投资承诺和企业调查分开使用；公告计划额不等于已投入资本，东道国接收全球 FDI 也不等于中国来源 ODI。</w:t>
            </w:r>
          </w:p>
        </w:tc>
      </w:tr>
    </w:tbl>
    <w:p>
      <w:pPr>
        <w:pStyle w:val="Heading1"/>
        <w:keepNext/>
      </w:pPr>
      <w:r>
        <w:rPr>
          <w:rFonts w:ascii="Microsoft YaHei" w:hAnsi="Microsoft YaHei" w:eastAsia="Microsoft YaHei"/>
          <w:b/>
          <w:color w:val="17264C"/>
          <w:sz w:val="34"/>
        </w:rPr>
        <w:t>二  规模、结构与数据口径</w:t>
      </w:r>
    </w:p>
    <w:p>
      <w:pPr>
        <w:spacing w:after="140" w:line="307" w:lineRule="auto"/>
        <w:ind w:firstLine="403"/>
      </w:pPr>
      <w:r>
        <w:rPr>
          <w:rFonts w:ascii="Microsoft YaHei" w:hAnsi="Microsoft YaHei" w:eastAsia="Microsoft YaHei"/>
          <w:b w:val="0"/>
          <w:color w:val="292B30"/>
          <w:sz w:val="20"/>
        </w:rPr>
        <w:t>2025年非金融类采矿业 ODI 为801亿元人民币，同比下降10.3%；制造业为2011亿元、下降4.6%。与此同时，官方对外投资统计指出绿色矿产和绿色低碳是近年拓展方向。EY的并购交易追踪显示矿业与金属交易公告金额增长。绿地项目、跨境并购和官方流量具有不同统计边界，不能用单一指标判断行业冷热。</w:t>
      </w:r>
    </w:p>
    <w:p>
      <w:pPr>
        <w:spacing w:after="140" w:line="307" w:lineRule="auto"/>
        <w:ind w:firstLine="403"/>
      </w:pPr>
      <w:r>
        <w:rPr>
          <w:rFonts w:ascii="Microsoft YaHei" w:hAnsi="Microsoft YaHei" w:eastAsia="Microsoft YaHei"/>
          <w:b w:val="0"/>
          <w:color w:val="292B30"/>
          <w:sz w:val="20"/>
        </w:rPr>
        <w:t>2025年非金融ODI中采矿业801亿元人民币（占7.7%，同比-10.3%）、制造业2011亿元（19.3%，-4.6%）、电热燃气水生产供应业143亿元（1.4%，-69.0%）。三者分别覆盖矿权、设备/材料制造和能源投资，统计未单列“新能源”，不可将其总和称作新能源ODI。IEA预计2025年全球清洁技术投资2.2万亿美元。</w:t>
      </w:r>
    </w:p>
    <w:tbl>
      <w:tblPr>
        <w:tblStyle w:val="TableGrid"/>
        <w:tblW w:type="auto" w:w="0"/>
        <w:jc w:val="center"/>
        <w:tblLayout w:type="autofit"/>
        <w:tblLook w:firstColumn="1" w:firstRow="1" w:lastColumn="0" w:lastRow="0" w:noHBand="0" w:noVBand="1" w:val="04A0"/>
      </w:tblPr>
      <w:tblGrid>
        <w:gridCol w:w="3331"/>
        <w:gridCol w:w="3331"/>
        <w:gridCol w:w="3331"/>
      </w:tblGrid>
      <w:tr>
        <w:trPr>
          <w:tblHeader w:val="true"/>
        </w:trPr>
        <w:tc>
          <w:tcPr>
            <w:tcW w:type="dxa" w:w="3331"/>
            <w:shd w:fill="17264C"/>
            <w:vAlign w:val="center"/>
            <w:tcMar>
              <w:top w:w="100" w:type="dxa"/>
              <w:start w:w="100" w:type="dxa"/>
              <w:bottom w:w="100" w:type="dxa"/>
              <w:end w:w="100" w:type="dxa"/>
            </w:tcMar>
          </w:tcPr>
          <w:p>
            <w:pPr>
              <w:spacing w:after="0" w:before="0"/>
            </w:pPr>
            <w:r/>
            <w:r>
              <w:rPr>
                <w:rFonts w:ascii="Microsoft YaHei" w:hAnsi="Microsoft YaHei" w:eastAsia="Microsoft YaHei"/>
                <w:b/>
                <w:color w:val="FFFFFF"/>
                <w:sz w:val="18"/>
              </w:rPr>
              <w:t>2025年非金融类行业</w:t>
            </w:r>
          </w:p>
        </w:tc>
        <w:tc>
          <w:tcPr>
            <w:tcW w:type="dxa" w:w="3331"/>
            <w:shd w:fill="17264C"/>
            <w:vAlign w:val="center"/>
            <w:tcMar>
              <w:top w:w="100" w:type="dxa"/>
              <w:start w:w="100" w:type="dxa"/>
              <w:bottom w:w="100" w:type="dxa"/>
              <w:end w:w="100" w:type="dxa"/>
            </w:tcMar>
          </w:tcPr>
          <w:p>
            <w:pPr>
              <w:spacing w:after="0" w:before="0"/>
            </w:pPr>
            <w:r/>
            <w:r>
              <w:rPr>
                <w:rFonts w:ascii="Microsoft YaHei" w:hAnsi="Microsoft YaHei" w:eastAsia="Microsoft YaHei"/>
                <w:b/>
                <w:color w:val="FFFFFF"/>
                <w:sz w:val="18"/>
              </w:rPr>
              <w:t>流量（亿元人民币）</w:t>
            </w:r>
          </w:p>
        </w:tc>
        <w:tc>
          <w:tcPr>
            <w:tcW w:type="dxa" w:w="3331"/>
            <w:shd w:fill="17264C"/>
            <w:vAlign w:val="center"/>
            <w:tcMar>
              <w:top w:w="100" w:type="dxa"/>
              <w:start w:w="100" w:type="dxa"/>
              <w:bottom w:w="100" w:type="dxa"/>
              <w:end w:w="100" w:type="dxa"/>
            </w:tcMar>
          </w:tcPr>
          <w:p>
            <w:pPr>
              <w:spacing w:after="0" w:before="0"/>
            </w:pPr>
            <w:r/>
            <w:r>
              <w:rPr>
                <w:rFonts w:ascii="Microsoft YaHei" w:hAnsi="Microsoft YaHei" w:eastAsia="Microsoft YaHei"/>
                <w:b/>
                <w:color w:val="FFFFFF"/>
                <w:sz w:val="18"/>
              </w:rPr>
              <w:t>同比</w:t>
            </w:r>
          </w:p>
        </w:tc>
      </w:tr>
      <w:tr>
        <w:tc>
          <w:tcPr>
            <w:tcW w:type="dxa" w:w="3331"/>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租赁和商务服务</w:t>
            </w:r>
          </w:p>
        </w:tc>
        <w:tc>
          <w:tcPr>
            <w:tcW w:type="dxa" w:w="3331"/>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2719</w:t>
            </w:r>
          </w:p>
        </w:tc>
        <w:tc>
          <w:tcPr>
            <w:tcW w:type="dxa" w:w="3331"/>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-5.6%</w:t>
            </w:r>
          </w:p>
        </w:tc>
      </w:tr>
      <w:tr>
        <w:tc>
          <w:tcPr>
            <w:tcW w:type="dxa" w:w="3331"/>
            <w:shd w:fill="F3F5F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批发和零售</w:t>
            </w:r>
          </w:p>
        </w:tc>
        <w:tc>
          <w:tcPr>
            <w:tcW w:type="dxa" w:w="3331"/>
            <w:shd w:fill="F3F5F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2555</w:t>
            </w:r>
          </w:p>
        </w:tc>
        <w:tc>
          <w:tcPr>
            <w:tcW w:type="dxa" w:w="3331"/>
            <w:shd w:fill="F3F5F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+27.3%</w:t>
            </w:r>
          </w:p>
        </w:tc>
      </w:tr>
      <w:tr>
        <w:tc>
          <w:tcPr>
            <w:tcW w:type="dxa" w:w="3331"/>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制造业</w:t>
            </w:r>
          </w:p>
        </w:tc>
        <w:tc>
          <w:tcPr>
            <w:tcW w:type="dxa" w:w="3331"/>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2011</w:t>
            </w:r>
          </w:p>
        </w:tc>
        <w:tc>
          <w:tcPr>
            <w:tcW w:type="dxa" w:w="3331"/>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-4.6%</w:t>
            </w:r>
          </w:p>
        </w:tc>
      </w:tr>
      <w:tr>
        <w:tc>
          <w:tcPr>
            <w:tcW w:type="dxa" w:w="3331"/>
            <w:shd w:fill="F3F5F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交通运输仓储</w:t>
            </w:r>
          </w:p>
        </w:tc>
        <w:tc>
          <w:tcPr>
            <w:tcW w:type="dxa" w:w="3331"/>
            <w:shd w:fill="F3F5F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709</w:t>
            </w:r>
          </w:p>
        </w:tc>
        <w:tc>
          <w:tcPr>
            <w:tcW w:type="dxa" w:w="3331"/>
            <w:shd w:fill="F3F5F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+34.8%</w:t>
            </w:r>
          </w:p>
        </w:tc>
      </w:tr>
      <w:tr>
        <w:tc>
          <w:tcPr>
            <w:tcW w:type="dxa" w:w="3331"/>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采矿业</w:t>
            </w:r>
          </w:p>
        </w:tc>
        <w:tc>
          <w:tcPr>
            <w:tcW w:type="dxa" w:w="3331"/>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801</w:t>
            </w:r>
          </w:p>
        </w:tc>
        <w:tc>
          <w:tcPr>
            <w:tcW w:type="dxa" w:w="3331"/>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-10.3%</w:t>
            </w:r>
          </w:p>
        </w:tc>
      </w:tr>
      <w:tr>
        <w:tc>
          <w:tcPr>
            <w:tcW w:type="dxa" w:w="3331"/>
            <w:shd w:fill="F3F5F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信息软件服务</w:t>
            </w:r>
          </w:p>
        </w:tc>
        <w:tc>
          <w:tcPr>
            <w:tcW w:type="dxa" w:w="3331"/>
            <w:shd w:fill="F3F5F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369</w:t>
            </w:r>
          </w:p>
        </w:tc>
        <w:tc>
          <w:tcPr>
            <w:tcW w:type="dxa" w:w="3331"/>
            <w:shd w:fill="F3F5F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-11.1%</w:t>
            </w:r>
          </w:p>
        </w:tc>
      </w:tr>
    </w:tbl>
    <w:p>
      <w:pPr>
        <w:spacing w:before="60"/>
      </w:pPr>
      <w:r>
        <w:rPr>
          <w:rFonts w:ascii="Microsoft YaHei" w:hAnsi="Microsoft YaHei" w:eastAsia="Microsoft YaHei"/>
          <w:b w:val="0"/>
          <w:color w:val="69717E"/>
          <w:sz w:val="16"/>
        </w:rPr>
        <w:t>图表口径：国家统计局发布的非金融类对外直接投资行业分布。</w:t>
      </w:r>
    </w:p>
    <w:p>
      <w:pPr>
        <w:pStyle w:val="Heading1"/>
        <w:keepNext/>
      </w:pPr>
      <w:r>
        <w:rPr>
          <w:rFonts w:ascii="Microsoft YaHei" w:hAnsi="Microsoft YaHei" w:eastAsia="Microsoft YaHei"/>
          <w:b/>
          <w:color w:val="17264C"/>
          <w:sz w:val="34"/>
        </w:rPr>
        <w:t>三  市场机会与进入方式</w:t>
      </w:r>
    </w:p>
    <w:p>
      <w:pPr>
        <w:spacing w:after="140" w:line="307" w:lineRule="auto"/>
        <w:ind w:firstLine="403"/>
      </w:pPr>
      <w:r>
        <w:rPr>
          <w:rFonts w:ascii="Microsoft YaHei" w:hAnsi="Microsoft YaHei" w:eastAsia="Microsoft YaHei"/>
          <w:b w:val="0"/>
          <w:color w:val="292B30"/>
          <w:sz w:val="20"/>
        </w:rPr>
        <w:t>印尼拥有镍资源和电池产业链基础，重点在矿权与冶炼、能耗、废水废渣、社区与产品溯源。</w:t>
      </w:r>
    </w:p>
    <w:p>
      <w:pPr>
        <w:spacing w:after="140" w:line="307" w:lineRule="auto"/>
        <w:ind w:firstLine="403"/>
      </w:pPr>
      <w:r>
        <w:rPr>
          <w:rFonts w:ascii="Microsoft YaHei" w:hAnsi="Microsoft YaHei" w:eastAsia="Microsoft YaHei"/>
          <w:b w:val="0"/>
          <w:color w:val="292B30"/>
          <w:sz w:val="20"/>
        </w:rPr>
        <w:t>澳大利亚、拉美和非洲拥有锂、铜、钴等关键矿物项目，但审批、土地权利、原住民/社区协商和资源价格周期风险较高。</w:t>
      </w:r>
    </w:p>
    <w:p>
      <w:pPr>
        <w:spacing w:after="140" w:line="307" w:lineRule="auto"/>
        <w:ind w:firstLine="403"/>
      </w:pPr>
      <w:r>
        <w:rPr>
          <w:rFonts w:ascii="Microsoft YaHei" w:hAnsi="Microsoft YaHei" w:eastAsia="Microsoft YaHei"/>
          <w:b w:val="0"/>
          <w:color w:val="292B30"/>
          <w:sz w:val="20"/>
        </w:rPr>
        <w:t>东南亚与欧洲可承接电池材料、电芯、Pack、储能和回收环节；产品资格、补贴规则、循环利用和电池护照要求要提前规划。</w:t>
      </w:r>
    </w:p>
    <w:p>
      <w:pPr>
        <w:spacing w:after="140" w:line="307" w:lineRule="auto"/>
        <w:ind w:firstLine="403"/>
      </w:pPr>
      <w:r>
        <w:rPr>
          <w:rFonts w:ascii="Microsoft YaHei" w:hAnsi="Microsoft YaHei" w:eastAsia="Microsoft YaHei"/>
          <w:b w:val="0"/>
          <w:color w:val="292B30"/>
          <w:sz w:val="20"/>
        </w:rPr>
        <w:t>新能源项目现金流经常受长期购电协议、并网、补贴、利率和设备价格影响，项目融资与股东出资节奏须与许可节点对应。</w:t>
      </w:r>
    </w:p>
    <w:p>
      <w:pPr>
        <w:pStyle w:val="Heading1"/>
        <w:keepNext/>
      </w:pPr>
      <w:r>
        <w:rPr>
          <w:rFonts w:ascii="Microsoft YaHei" w:hAnsi="Microsoft YaHei" w:eastAsia="Microsoft YaHei"/>
          <w:b/>
          <w:color w:val="17264C"/>
          <w:sz w:val="34"/>
        </w:rPr>
        <w:t>重点市场准入与选址政策对照</w:t>
      </w:r>
    </w:p>
    <w:p>
      <w:pPr>
        <w:spacing w:after="140" w:line="307" w:lineRule="auto"/>
        <w:ind w:firstLine="403"/>
      </w:pPr>
      <w:r>
        <w:rPr>
          <w:rFonts w:ascii="Microsoft YaHei" w:hAnsi="Microsoft YaHei" w:eastAsia="Microsoft YaHei"/>
          <w:b w:val="0"/>
          <w:color w:val="292B30"/>
          <w:sz w:val="20"/>
        </w:rPr>
        <w:t>行业市场对照用于建立初筛清单。法定资本、最低实缴、外资股比和激励资格以项目主体、具体活动和最新官方规则为准；公司注册资本不等于投资促进项目的最低投资额。</w:t>
      </w:r>
    </w:p>
    <w:tbl>
      <w:tblPr>
        <w:tblStyle w:val="TableGrid"/>
        <w:tblW w:type="auto" w:w="0"/>
        <w:jc w:val="center"/>
        <w:tblLayout w:type="autofit"/>
        <w:tblLook w:firstColumn="1" w:firstRow="1" w:lastColumn="0" w:lastRow="0" w:noHBand="0" w:noVBand="1" w:val="04A0"/>
      </w:tblPr>
      <w:tblGrid>
        <w:gridCol w:w="4997"/>
        <w:gridCol w:w="4997"/>
      </w:tblGrid>
      <w:tr>
        <w:trPr>
          <w:tblHeader w:val="true"/>
        </w:trPr>
        <w:tc>
          <w:tcPr>
            <w:tcW w:type="dxa" w:w="4997"/>
            <w:shd w:fill="17264C"/>
            <w:vAlign w:val="center"/>
            <w:tcMar>
              <w:top w:w="100" w:type="dxa"/>
              <w:start w:w="100" w:type="dxa"/>
              <w:bottom w:w="100" w:type="dxa"/>
              <w:end w:w="100" w:type="dxa"/>
            </w:tcMar>
          </w:tcPr>
          <w:p>
            <w:pPr>
              <w:spacing w:after="0" w:before="0"/>
            </w:pPr>
            <w:r/>
            <w:r>
              <w:rPr>
                <w:rFonts w:ascii="Microsoft YaHei" w:hAnsi="Microsoft YaHei" w:eastAsia="Microsoft YaHei"/>
                <w:b/>
                <w:color w:val="FFFFFF"/>
                <w:sz w:val="18"/>
              </w:rPr>
              <w:t>代表市场（不超过10个）</w:t>
            </w:r>
          </w:p>
        </w:tc>
        <w:tc>
          <w:tcPr>
            <w:tcW w:type="dxa" w:w="4997"/>
            <w:shd w:fill="17264C"/>
            <w:vAlign w:val="center"/>
            <w:tcMar>
              <w:top w:w="100" w:type="dxa"/>
              <w:start w:w="100" w:type="dxa"/>
              <w:bottom w:w="100" w:type="dxa"/>
              <w:end w:w="100" w:type="dxa"/>
            </w:tcMar>
          </w:tcPr>
          <w:p>
            <w:pPr>
              <w:spacing w:after="0" w:before="0"/>
            </w:pPr>
            <w:r/>
            <w:r>
              <w:rPr>
                <w:rFonts w:ascii="Microsoft YaHei" w:hAnsi="Microsoft YaHei" w:eastAsia="Microsoft YaHei"/>
                <w:b/>
                <w:color w:val="FFFFFF"/>
                <w:sz w:val="18"/>
              </w:rPr>
              <w:t>准入、资本或选址政策关注点</w:t>
            </w:r>
          </w:p>
        </w:tc>
      </w:tr>
      <w:tr>
        <w:tc>
          <w:tcPr>
            <w:tcW w:type="dxa" w:w="4997"/>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印度尼西亚</w:t>
            </w:r>
          </w:p>
        </w:tc>
        <w:tc>
          <w:tcPr>
            <w:tcW w:type="dxa" w:w="4997"/>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矿业许可、下游加工、本地化及股权规则随矿种与项目阶段变化；PMA资本底线单列核验。</w:t>
            </w:r>
          </w:p>
        </w:tc>
      </w:tr>
      <w:tr>
        <w:tc>
          <w:tcPr>
            <w:tcW w:type="dxa" w:w="4997"/>
            <w:shd w:fill="F3F5F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澳大利亚</w:t>
            </w:r>
          </w:p>
        </w:tc>
        <w:tc>
          <w:tcPr>
            <w:tcW w:type="dxa" w:w="4997"/>
            <w:shd w:fill="F3F5F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矿权、州级审批、原住民协商与环境评估为前置事项；资源权利不可仅凭公司设立推定。</w:t>
            </w:r>
          </w:p>
        </w:tc>
      </w:tr>
      <w:tr>
        <w:tc>
          <w:tcPr>
            <w:tcW w:type="dxa" w:w="4997"/>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智利/巴西</w:t>
            </w:r>
          </w:p>
        </w:tc>
        <w:tc>
          <w:tcPr>
            <w:tcW w:type="dxa" w:w="4997"/>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锂铜等项目需先审资源权属、特许权、环境许可、社区咨询与出口安排。</w:t>
            </w:r>
          </w:p>
        </w:tc>
      </w:tr>
      <w:tr>
        <w:tc>
          <w:tcPr>
            <w:tcW w:type="dxa" w:w="4997"/>
            <w:shd w:fill="F3F5F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美国/欧盟</w:t>
            </w:r>
          </w:p>
        </w:tc>
        <w:tc>
          <w:tcPr>
            <w:tcW w:type="dxa" w:w="4997"/>
            <w:shd w:fill="F3F5F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关键矿物与清洁技术投资可能触发国家安全审查、补贴来源/原产地及供应链溯源要求。</w:t>
            </w:r>
          </w:p>
        </w:tc>
      </w:tr>
      <w:tr>
        <w:tc>
          <w:tcPr>
            <w:tcW w:type="dxa" w:w="4997"/>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沙特/阿联酋</w:t>
            </w:r>
          </w:p>
        </w:tc>
        <w:tc>
          <w:tcPr>
            <w:tcW w:type="dxa" w:w="4997"/>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可再生能源、氢能及材料项目依招标、购电协议、园区资格和本地化要求推进。</w:t>
            </w:r>
          </w:p>
        </w:tc>
      </w:tr>
    </w:tbl>
    <w:p>
      <w:pPr>
        <w:pStyle w:val="Heading1"/>
        <w:keepNext/>
      </w:pPr>
      <w:r>
        <w:rPr>
          <w:rFonts w:ascii="Microsoft YaHei" w:hAnsi="Microsoft YaHei" w:eastAsia="Microsoft YaHei"/>
          <w:b/>
          <w:color w:val="17264C"/>
          <w:sz w:val="34"/>
        </w:rPr>
        <w:t>四  代表性项目观察</w:t>
      </w:r>
    </w:p>
    <w:p>
      <w:pPr>
        <w:spacing w:after="140" w:line="307" w:lineRule="auto"/>
        <w:ind w:firstLine="403"/>
      </w:pPr>
      <w:r>
        <w:rPr>
          <w:rFonts w:ascii="Microsoft YaHei" w:hAnsi="Microsoft YaHei" w:eastAsia="Microsoft YaHei"/>
          <w:b w:val="0"/>
          <w:color w:val="292B30"/>
          <w:sz w:val="20"/>
        </w:rPr>
        <w:t>宁德时代印尼项目由中国企业与印尼国有矿业公司和印尼电池公司合作，项目覆盖采矿加工、材料、电池制造及回收，2025年开工信息披露的规划总投资近60亿美元。该项目适合作为“资源—制造—循环”案例观察，但公告计划值不是已完成出资或最终产能。</w:t>
      </w:r>
    </w:p>
    <w:p>
      <w:pPr>
        <w:pStyle w:val="Heading2"/>
        <w:keepNext/>
      </w:pPr>
      <w:r>
        <w:rPr>
          <w:rFonts w:ascii="Microsoft YaHei" w:hAnsi="Microsoft YaHei" w:eastAsia="Microsoft YaHei"/>
          <w:b/>
          <w:color w:val="A86B4F"/>
          <w:sz w:val="24"/>
        </w:rPr>
        <w:t>代表项目观察</w:t>
      </w:r>
    </w:p>
    <w:p>
      <w:pPr>
        <w:spacing w:after="140" w:line="307" w:lineRule="auto"/>
        <w:ind w:firstLine="403"/>
      </w:pPr>
      <w:r>
        <w:rPr>
          <w:rFonts w:ascii="Microsoft YaHei" w:hAnsi="Microsoft YaHei" w:eastAsia="Microsoft YaHei"/>
          <w:b w:val="0"/>
          <w:color w:val="292B30"/>
          <w:sz w:val="20"/>
        </w:rPr>
        <w:t>以下项目区分股权投资、建设投资、许可合作与项目规划。金额均按企业或政府公开披露口径记录；未披露的明确标记，规划额不代表已投金额。项目状态以来源公布日期为准，重大交易需再核验最新进展。</w:t>
      </w:r>
    </w:p>
    <w:tbl>
      <w:tblPr>
        <w:tblStyle w:val="TableGrid"/>
        <w:tblW w:type="auto" w:w="0"/>
        <w:jc w:val="center"/>
        <w:tblLayout w:type="autofit"/>
        <w:tblLook w:firstColumn="1" w:firstRow="1" w:lastColumn="0" w:lastRow="0" w:noHBand="0" w:noVBand="1" w:val="04A0"/>
      </w:tblPr>
      <w:tblGrid>
        <w:gridCol w:w="2498"/>
        <w:gridCol w:w="2498"/>
        <w:gridCol w:w="2498"/>
        <w:gridCol w:w="2498"/>
      </w:tblGrid>
      <w:tr>
        <w:trPr>
          <w:tblHeader w:val="true"/>
        </w:trPr>
        <w:tc>
          <w:tcPr>
            <w:tcW w:type="dxa" w:w="2498"/>
            <w:shd w:fill="17264C"/>
            <w:vAlign w:val="center"/>
            <w:tcMar>
              <w:top w:w="100" w:type="dxa"/>
              <w:start w:w="100" w:type="dxa"/>
              <w:bottom w:w="100" w:type="dxa"/>
              <w:end w:w="100" w:type="dxa"/>
            </w:tcMar>
          </w:tcPr>
          <w:p>
            <w:pPr>
              <w:spacing w:after="0" w:before="0"/>
            </w:pPr>
            <w:r/>
            <w:r>
              <w:rPr>
                <w:rFonts w:ascii="Microsoft YaHei" w:hAnsi="Microsoft YaHei" w:eastAsia="Microsoft YaHei"/>
                <w:b/>
                <w:color w:val="FFFFFF"/>
                <w:sz w:val="18"/>
              </w:rPr>
              <w:t>项目与所在地</w:t>
            </w:r>
          </w:p>
        </w:tc>
        <w:tc>
          <w:tcPr>
            <w:tcW w:type="dxa" w:w="2498"/>
            <w:shd w:fill="17264C"/>
            <w:vAlign w:val="center"/>
            <w:tcMar>
              <w:top w:w="100" w:type="dxa"/>
              <w:start w:w="100" w:type="dxa"/>
              <w:bottom w:w="100" w:type="dxa"/>
              <w:end w:w="100" w:type="dxa"/>
            </w:tcMar>
          </w:tcPr>
          <w:p>
            <w:pPr>
              <w:spacing w:after="0" w:before="0"/>
            </w:pPr>
            <w:r/>
            <w:r>
              <w:rPr>
                <w:rFonts w:ascii="Microsoft YaHei" w:hAnsi="Microsoft YaHei" w:eastAsia="Microsoft YaHei"/>
                <w:b/>
                <w:color w:val="FFFFFF"/>
                <w:sz w:val="18"/>
              </w:rPr>
              <w:t>投资方与产业环节</w:t>
            </w:r>
          </w:p>
        </w:tc>
        <w:tc>
          <w:tcPr>
            <w:tcW w:type="dxa" w:w="2498"/>
            <w:shd w:fill="17264C"/>
            <w:vAlign w:val="center"/>
            <w:tcMar>
              <w:top w:w="100" w:type="dxa"/>
              <w:start w:w="100" w:type="dxa"/>
              <w:bottom w:w="100" w:type="dxa"/>
              <w:end w:w="100" w:type="dxa"/>
            </w:tcMar>
          </w:tcPr>
          <w:p>
            <w:pPr>
              <w:spacing w:after="0" w:before="0"/>
            </w:pPr>
            <w:r/>
            <w:r>
              <w:rPr>
                <w:rFonts w:ascii="Microsoft YaHei" w:hAnsi="Microsoft YaHei" w:eastAsia="Microsoft YaHei"/>
                <w:b/>
                <w:color w:val="FFFFFF"/>
                <w:sz w:val="18"/>
              </w:rPr>
              <w:t>公开金额与项目阶段</w:t>
            </w:r>
          </w:p>
        </w:tc>
        <w:tc>
          <w:tcPr>
            <w:tcW w:type="dxa" w:w="2498"/>
            <w:shd w:fill="17264C"/>
            <w:vAlign w:val="center"/>
            <w:tcMar>
              <w:top w:w="100" w:type="dxa"/>
              <w:start w:w="100" w:type="dxa"/>
              <w:bottom w:w="100" w:type="dxa"/>
              <w:end w:w="100" w:type="dxa"/>
            </w:tcMar>
          </w:tcPr>
          <w:p>
            <w:pPr>
              <w:spacing w:after="0" w:before="0"/>
            </w:pPr>
            <w:r/>
            <w:r>
              <w:rPr>
                <w:rFonts w:ascii="Microsoft YaHei" w:hAnsi="Microsoft YaHei" w:eastAsia="Microsoft YaHei"/>
                <w:b/>
                <w:color w:val="FFFFFF"/>
                <w:sz w:val="18"/>
              </w:rPr>
              <w:t>可核验的投资观察</w:t>
            </w:r>
          </w:p>
        </w:tc>
      </w:tr>
      <w:tr>
        <w:tc>
          <w:tcPr>
            <w:tcW w:type="dxa" w:w="249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印尼｜CATL—ANTAM—IBC综合电池产业链</w:t>
            </w:r>
          </w:p>
        </w:tc>
        <w:tc>
          <w:tcPr>
            <w:tcW w:type="dxa" w:w="249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宁德时代；矿产加工、电池材料、制造、回收</w:t>
            </w:r>
          </w:p>
        </w:tc>
        <w:tc>
          <w:tcPr>
            <w:tcW w:type="dxa" w:w="249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规划近US$6bn；2025年开工/启动建设，涵盖多个项目阶段。</w:t>
            </w:r>
          </w:p>
        </w:tc>
        <w:tc>
          <w:tcPr>
            <w:tcW w:type="dxa" w:w="249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拆分矿业、材料、电池、回收项目公司及各自资本承诺，避免重复加总。</w:t>
            </w:r>
          </w:p>
        </w:tc>
      </w:tr>
      <w:tr>
        <w:tc>
          <w:tcPr>
            <w:tcW w:type="dxa" w:w="2498"/>
            <w:shd w:fill="F3F5F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哈萨克斯坦｜东方希望有色金属深加工项目</w:t>
            </w:r>
          </w:p>
        </w:tc>
        <w:tc>
          <w:tcPr>
            <w:tcW w:type="dxa" w:w="2498"/>
            <w:shd w:fill="F3F5F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东方希望；铝及有色金属加工</w:t>
            </w:r>
          </w:p>
        </w:tc>
        <w:tc>
          <w:tcPr>
            <w:tcW w:type="dxa" w:w="2498"/>
            <w:shd w:fill="F3F5F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政府披露签署合作协议并推进两地厂区，最终投资金额尚未披露。</w:t>
            </w:r>
          </w:p>
        </w:tc>
        <w:tc>
          <w:tcPr>
            <w:tcW w:type="dxa" w:w="2498"/>
            <w:shd w:fill="F3F5F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验证上游资源、低碳电力、能源用水、出口和项目批准。</w:t>
            </w:r>
          </w:p>
        </w:tc>
      </w:tr>
      <w:tr>
        <w:tc>
          <w:tcPr>
            <w:tcW w:type="dxa" w:w="249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澳大利亚维州｜Goldwind风电场运营资产</w:t>
            </w:r>
          </w:p>
        </w:tc>
        <w:tc>
          <w:tcPr>
            <w:tcW w:type="dxa" w:w="249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金风科技；风电项目开发和运营</w:t>
            </w:r>
          </w:p>
        </w:tc>
        <w:tc>
          <w:tcPr>
            <w:tcW w:type="dxa" w:w="249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维州政府列示Stockyard Hill及Moorabool项目；披露资料未提供统一资本口径。</w:t>
            </w:r>
          </w:p>
        </w:tc>
        <w:tc>
          <w:tcPr>
            <w:tcW w:type="dxa" w:w="249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评估项目公司持股、容量/实际发电、PPA、土地和并网；区分设备订单与项目股权投资。</w:t>
            </w:r>
          </w:p>
        </w:tc>
      </w:tr>
    </w:tbl>
    <w:p>
      <w:pPr>
        <w:pStyle w:val="Heading1"/>
        <w:keepNext/>
      </w:pPr>
      <w:r>
        <w:rPr>
          <w:rFonts w:ascii="Microsoft YaHei" w:hAnsi="Microsoft YaHei" w:eastAsia="Microsoft YaHei"/>
          <w:b/>
          <w:color w:val="17264C"/>
          <w:sz w:val="34"/>
        </w:rPr>
        <w:t>五  重点合规与执行风险</w:t>
      </w:r>
    </w:p>
    <w:p>
      <w:pPr>
        <w:pStyle w:val="ListBullet"/>
        <w:spacing w:after="80" w:line="283" w:lineRule="auto"/>
        <w:ind w:left="346" w:hanging="202"/>
      </w:pPr>
      <w:r>
        <w:rPr>
          <w:rFonts w:ascii="Microsoft YaHei" w:hAnsi="Microsoft YaHei" w:eastAsia="Microsoft YaHei"/>
          <w:b w:val="0"/>
          <w:color w:val="292B30"/>
          <w:sz w:val="19"/>
        </w:rPr>
        <w:t>矿权与资源：权属、特许期限、储量评估、出口限制、税费、特许权使用费和资源国政策变化。</w:t>
      </w:r>
    </w:p>
    <w:p>
      <w:pPr>
        <w:pStyle w:val="ListBullet"/>
        <w:spacing w:after="80" w:line="283" w:lineRule="auto"/>
        <w:ind w:left="346" w:hanging="202"/>
      </w:pPr>
      <w:r>
        <w:rPr>
          <w:rFonts w:ascii="Microsoft YaHei" w:hAnsi="Microsoft YaHei" w:eastAsia="Microsoft YaHei"/>
          <w:b w:val="0"/>
          <w:color w:val="292B30"/>
          <w:sz w:val="19"/>
        </w:rPr>
        <w:t>环境社会：环评、用水、尾矿与危废、碳排、劳工、人权与社区协商；项目融资方和下游客户可能要求高于当地最低法定标准。</w:t>
      </w:r>
    </w:p>
    <w:p>
      <w:pPr>
        <w:pStyle w:val="ListBullet"/>
        <w:spacing w:after="80" w:line="283" w:lineRule="auto"/>
        <w:ind w:left="346" w:hanging="202"/>
      </w:pPr>
      <w:r>
        <w:rPr>
          <w:rFonts w:ascii="Microsoft YaHei" w:hAnsi="Microsoft YaHei" w:eastAsia="Microsoft YaHei"/>
          <w:b w:val="0"/>
          <w:color w:val="292B30"/>
          <w:sz w:val="19"/>
        </w:rPr>
        <w:t>技术与贸易：技术出口许可、设备供应、产品原产地、反规避调查、关键矿物来源追溯和电池回收责任。</w:t>
      </w:r>
    </w:p>
    <w:p>
      <w:pPr>
        <w:pStyle w:val="ListBullet"/>
        <w:spacing w:after="80" w:line="283" w:lineRule="auto"/>
        <w:ind w:left="346" w:hanging="202"/>
      </w:pPr>
      <w:r>
        <w:rPr>
          <w:rFonts w:ascii="Microsoft YaHei" w:hAnsi="Microsoft YaHei" w:eastAsia="Microsoft YaHei"/>
          <w:b w:val="0"/>
          <w:color w:val="292B30"/>
          <w:sz w:val="19"/>
        </w:rPr>
        <w:t>资金与治理：项目公司分层、资本金与股东贷款、项目融资担保、关联交易和利润分配要从设立时形成完整审计证据。</w:t>
      </w:r>
    </w:p>
    <w:p>
      <w:pPr>
        <w:pStyle w:val="Heading1"/>
        <w:keepNext/>
      </w:pPr>
      <w:r>
        <w:rPr>
          <w:rFonts w:ascii="Microsoft YaHei" w:hAnsi="Microsoft YaHei" w:eastAsia="Microsoft YaHei"/>
          <w:b/>
          <w:color w:val="17264C"/>
          <w:sz w:val="34"/>
        </w:rPr>
        <w:t>六  投资启示</w:t>
      </w:r>
    </w:p>
    <w:p>
      <w:pPr>
        <w:pStyle w:val="ListBullet"/>
        <w:spacing w:after="80" w:line="283" w:lineRule="auto"/>
        <w:ind w:left="346" w:hanging="202"/>
      </w:pPr>
      <w:r>
        <w:rPr>
          <w:rFonts w:ascii="Microsoft YaHei" w:hAnsi="Microsoft YaHei" w:eastAsia="Microsoft YaHei"/>
          <w:b w:val="0"/>
          <w:color w:val="292B30"/>
          <w:sz w:val="19"/>
        </w:rPr>
        <w:t>把目标市场拆为销售验证、合规准入、试点运营和规模化投资四个阶段，先验证需求与单位经济性，再承诺固定资产和长期租赁。</w:t>
      </w:r>
    </w:p>
    <w:p>
      <w:pPr>
        <w:pStyle w:val="ListBullet"/>
        <w:spacing w:after="80" w:line="283" w:lineRule="auto"/>
        <w:ind w:left="346" w:hanging="202"/>
      </w:pPr>
      <w:r>
        <w:rPr>
          <w:rFonts w:ascii="Microsoft YaHei" w:hAnsi="Microsoft YaHei" w:eastAsia="Microsoft YaHei"/>
          <w:b w:val="0"/>
          <w:color w:val="292B30"/>
          <w:sz w:val="19"/>
        </w:rPr>
        <w:t>对股权限制、许可、最低资本/实缴、园区资格、补贴期限与追回条件建立先决条件清单；将政策优惠按“已批准/可申请/尚未确认”分层计入模型。</w:t>
      </w:r>
    </w:p>
    <w:p>
      <w:pPr>
        <w:pStyle w:val="ListBullet"/>
        <w:spacing w:after="80" w:line="283" w:lineRule="auto"/>
        <w:ind w:left="346" w:hanging="202"/>
      </w:pPr>
      <w:r>
        <w:rPr>
          <w:rFonts w:ascii="Microsoft YaHei" w:hAnsi="Microsoft YaHei" w:eastAsia="Microsoft YaHei"/>
          <w:b w:val="0"/>
          <w:color w:val="292B30"/>
          <w:sz w:val="19"/>
        </w:rPr>
        <w:t>对供应商、本地化、原产地、数据/技术、能源和人才设定投资闸门与备选方案，并将汇率、税务、融资与退出情景纳入敏感性分析。</w:t>
      </w:r>
    </w:p>
    <w:p>
      <w:pPr>
        <w:pStyle w:val="ListBullet"/>
        <w:spacing w:after="80" w:line="283" w:lineRule="auto"/>
        <w:ind w:left="346" w:hanging="202"/>
      </w:pPr>
      <w:r>
        <w:rPr>
          <w:rFonts w:ascii="Microsoft YaHei" w:hAnsi="Microsoft YaHei" w:eastAsia="Microsoft YaHei"/>
          <w:b w:val="0"/>
          <w:color w:val="292B30"/>
          <w:sz w:val="19"/>
        </w:rPr>
        <w:t>在境内 ODI 审批、境外架构、资金路径、公司设立开户、关联交易及持续审计之间建立一致的项目治理和证据链。</w:t>
      </w:r>
    </w:p>
    <w:p>
      <w:pPr>
        <w:pStyle w:val="Heading1"/>
        <w:keepNext/>
      </w:pPr>
      <w:r>
        <w:rPr>
          <w:rFonts w:ascii="Microsoft YaHei" w:hAnsi="Microsoft YaHei" w:eastAsia="Microsoft YaHei"/>
          <w:b/>
          <w:color w:val="17264C"/>
          <w:sz w:val="34"/>
        </w:rPr>
        <w:t>行业专题  项目链条、权利与合同结构</w:t>
      </w:r>
    </w:p>
    <w:p>
      <w:pPr>
        <w:spacing w:after="140" w:line="307" w:lineRule="auto"/>
        <w:ind w:firstLine="403"/>
      </w:pPr>
      <w:r>
        <w:rPr>
          <w:rFonts w:ascii="Microsoft YaHei" w:hAnsi="Microsoft YaHei" w:eastAsia="Microsoft YaHei"/>
          <w:b w:val="0"/>
          <w:color w:val="292B30"/>
          <w:sz w:val="20"/>
        </w:rPr>
        <w:t>新能源投资应区分矿权/资源合同、加工冶炼、电池材料、电芯/组件制造、储能、电站开发和回收。每个环节的许可、资本需求和商业伙伴不同，纵向一体化虽有助于保障供应，却增加资本集中、环境责任和价格周期风险。资源项目需要独立验证储量/资源量、品位、采矿权期限、土地和社区权利；组件或电池制造要验证客户认证、订单、原料来源、产品溯源和技术许可。</w:t>
      </w:r>
    </w:p>
    <w:p>
      <w:pPr>
        <w:spacing w:after="140" w:line="307" w:lineRule="auto"/>
        <w:ind w:firstLine="403"/>
      </w:pPr>
      <w:r>
        <w:rPr>
          <w:rFonts w:ascii="Microsoft YaHei" w:hAnsi="Microsoft YaHei" w:eastAsia="Microsoft YaHei"/>
          <w:b w:val="0"/>
          <w:color w:val="292B30"/>
          <w:sz w:val="20"/>
        </w:rPr>
        <w:t>项目公司合同应明确股东出资、超支责任、承购量与定价机制、原料质量、技术授权、施工保函、产能保证、环境修复、退役回收和退出安排。对电站项目，应核查购电协议、并网、土地、许可、储能配置和电价调整机制；对关键矿产加工，应识别能源、水、尾矿/废料处置和碳排约束。</w:t>
      </w:r>
    </w:p>
    <w:tbl>
      <w:tblPr>
        <w:tblStyle w:val="TableGrid"/>
        <w:tblW w:type="auto" w:w="0"/>
        <w:jc w:val="center"/>
        <w:tblLayout w:type="autofit"/>
        <w:tblLook w:firstColumn="1" w:firstRow="1" w:lastColumn="0" w:lastRow="0" w:noHBand="0" w:noVBand="1" w:val="04A0"/>
      </w:tblPr>
      <w:tblGrid>
        <w:gridCol w:w="4997"/>
        <w:gridCol w:w="4997"/>
      </w:tblGrid>
      <w:tr>
        <w:trPr>
          <w:tblHeader w:val="true"/>
        </w:trPr>
        <w:tc>
          <w:tcPr>
            <w:tcW w:type="dxa" w:w="4997"/>
            <w:shd w:fill="17264C"/>
            <w:vAlign w:val="center"/>
            <w:tcMar>
              <w:top w:w="100" w:type="dxa"/>
              <w:start w:w="100" w:type="dxa"/>
              <w:bottom w:w="100" w:type="dxa"/>
              <w:end w:w="100" w:type="dxa"/>
            </w:tcMar>
          </w:tcPr>
          <w:p>
            <w:pPr>
              <w:spacing w:after="0" w:before="0"/>
            </w:pPr>
            <w:r/>
            <w:r>
              <w:rPr>
                <w:rFonts w:ascii="Microsoft YaHei" w:hAnsi="Microsoft YaHei" w:eastAsia="Microsoft YaHei"/>
                <w:b/>
                <w:color w:val="FFFFFF"/>
                <w:sz w:val="18"/>
              </w:rPr>
              <w:t>投委会指标</w:t>
            </w:r>
          </w:p>
        </w:tc>
        <w:tc>
          <w:tcPr>
            <w:tcW w:type="dxa" w:w="4997"/>
            <w:shd w:fill="17264C"/>
            <w:vAlign w:val="center"/>
            <w:tcMar>
              <w:top w:w="100" w:type="dxa"/>
              <w:start w:w="100" w:type="dxa"/>
              <w:bottom w:w="100" w:type="dxa"/>
              <w:end w:w="100" w:type="dxa"/>
            </w:tcMar>
          </w:tcPr>
          <w:p>
            <w:pPr>
              <w:spacing w:after="0" w:before="0"/>
            </w:pPr>
            <w:r/>
            <w:r>
              <w:rPr>
                <w:rFonts w:ascii="Microsoft YaHei" w:hAnsi="Microsoft YaHei" w:eastAsia="Microsoft YaHei"/>
                <w:b/>
                <w:color w:val="FFFFFF"/>
                <w:sz w:val="18"/>
              </w:rPr>
              <w:t>建议在立项/投后持续观察</w:t>
            </w:r>
          </w:p>
        </w:tc>
      </w:tr>
      <w:tr>
        <w:tc>
          <w:tcPr>
            <w:tcW w:type="dxa" w:w="4997"/>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需求与现金流</w:t>
            </w:r>
          </w:p>
        </w:tc>
        <w:tc>
          <w:tcPr>
            <w:tcW w:type="dxa" w:w="4997"/>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客户合同/订单覆盖、回款周期、单位经济性与下行情景</w:t>
            </w:r>
          </w:p>
        </w:tc>
      </w:tr>
      <w:tr>
        <w:tc>
          <w:tcPr>
            <w:tcW w:type="dxa" w:w="4997"/>
            <w:shd w:fill="F3F5F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资本与进度</w:t>
            </w:r>
          </w:p>
        </w:tc>
        <w:tc>
          <w:tcPr>
            <w:tcW w:type="dxa" w:w="4997"/>
            <w:shd w:fill="F3F5F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预算偏差、许可/建设里程碑、实际出资与产能爬坡</w:t>
            </w:r>
          </w:p>
        </w:tc>
      </w:tr>
      <w:tr>
        <w:tc>
          <w:tcPr>
            <w:tcW w:type="dxa" w:w="4997"/>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合规与韧性</w:t>
            </w:r>
          </w:p>
        </w:tc>
        <w:tc>
          <w:tcPr>
            <w:tcW w:type="dxa" w:w="4997"/>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准入许可、供应链/原产地、环境社会和退出触发条件</w:t>
            </w:r>
          </w:p>
        </w:tc>
      </w:tr>
    </w:tbl>
    <w:p>
      <w:pPr>
        <w:pStyle w:val="Heading1"/>
        <w:keepNext/>
      </w:pPr>
      <w:r>
        <w:rPr>
          <w:rFonts w:ascii="Microsoft YaHei" w:hAnsi="Microsoft YaHei" w:eastAsia="Microsoft YaHei"/>
          <w:b/>
          <w:color w:val="17264C"/>
          <w:sz w:val="34"/>
        </w:rPr>
        <w:t>行业专题  投资回报与可持续性闸门</w:t>
      </w:r>
    </w:p>
    <w:p>
      <w:pPr>
        <w:spacing w:after="140" w:line="307" w:lineRule="auto"/>
        <w:ind w:firstLine="403"/>
      </w:pPr>
      <w:r>
        <w:rPr>
          <w:rFonts w:ascii="Microsoft YaHei" w:hAnsi="Microsoft YaHei" w:eastAsia="Microsoft YaHei"/>
          <w:b w:val="0"/>
          <w:color w:val="292B30"/>
          <w:sz w:val="20"/>
        </w:rPr>
        <w:t>模型需同时覆盖商品价格下行、建设超支、投产延迟、回收率低于预期、电价/水价上涨、客户资格变化、碳成本、进口限制和补贴未获批。区分公告投资、已承诺资本、已投入资金和可形成收入的产能；将长周期勘探和许可费用设置独立预算闸门。融资方和下游客户的尽调可能要求更高标准的环境社会治理与矿产溯源。</w:t>
      </w:r>
    </w:p>
    <w:p>
      <w:pPr>
        <w:spacing w:after="140" w:line="307" w:lineRule="auto"/>
        <w:ind w:firstLine="403"/>
      </w:pPr>
      <w:r>
        <w:rPr>
          <w:rFonts w:ascii="Microsoft YaHei" w:hAnsi="Microsoft YaHei" w:eastAsia="Microsoft YaHei"/>
          <w:b w:val="0"/>
          <w:color w:val="292B30"/>
          <w:sz w:val="20"/>
        </w:rPr>
        <w:t>投后监测矿权与许可有效期、储量变化、单位能耗/水耗、排放、劳工安全、社区申诉、供应商尽调、产能利用率、产品质量、回收率和承购履约。建立电池/组件产品护照及回收责任数据链。若价格、许可或融资条件触发红线，应及时调整阶段、产量或合作结构，不应以沉没成本为由继续扩大风险敞口。</w:t>
      </w:r>
    </w:p>
    <w:tbl>
      <w:tblPr>
        <w:tblStyle w:val="TableGrid"/>
        <w:tblW w:type="auto" w:w="0"/>
        <w:jc w:val="center"/>
        <w:tblLayout w:type="autofit"/>
        <w:tblLook w:firstColumn="1" w:firstRow="1" w:lastColumn="0" w:lastRow="0" w:noHBand="0" w:noVBand="1" w:val="04A0"/>
      </w:tblPr>
      <w:tblGrid>
        <w:gridCol w:w="4997"/>
        <w:gridCol w:w="4997"/>
      </w:tblGrid>
      <w:tr>
        <w:trPr>
          <w:tblHeader w:val="true"/>
        </w:trPr>
        <w:tc>
          <w:tcPr>
            <w:tcW w:type="dxa" w:w="4997"/>
            <w:shd w:fill="17264C"/>
            <w:vAlign w:val="center"/>
            <w:tcMar>
              <w:top w:w="100" w:type="dxa"/>
              <w:start w:w="100" w:type="dxa"/>
              <w:bottom w:w="100" w:type="dxa"/>
              <w:end w:w="100" w:type="dxa"/>
            </w:tcMar>
          </w:tcPr>
          <w:p>
            <w:pPr>
              <w:spacing w:after="0" w:before="0"/>
            </w:pPr>
            <w:r/>
            <w:r>
              <w:rPr>
                <w:rFonts w:ascii="Microsoft YaHei" w:hAnsi="Microsoft YaHei" w:eastAsia="Microsoft YaHei"/>
                <w:b/>
                <w:color w:val="FFFFFF"/>
                <w:sz w:val="18"/>
              </w:rPr>
              <w:t>投委会指标</w:t>
            </w:r>
          </w:p>
        </w:tc>
        <w:tc>
          <w:tcPr>
            <w:tcW w:type="dxa" w:w="4997"/>
            <w:shd w:fill="17264C"/>
            <w:vAlign w:val="center"/>
            <w:tcMar>
              <w:top w:w="100" w:type="dxa"/>
              <w:start w:w="100" w:type="dxa"/>
              <w:bottom w:w="100" w:type="dxa"/>
              <w:end w:w="100" w:type="dxa"/>
            </w:tcMar>
          </w:tcPr>
          <w:p>
            <w:pPr>
              <w:spacing w:after="0" w:before="0"/>
            </w:pPr>
            <w:r/>
            <w:r>
              <w:rPr>
                <w:rFonts w:ascii="Microsoft YaHei" w:hAnsi="Microsoft YaHei" w:eastAsia="Microsoft YaHei"/>
                <w:b/>
                <w:color w:val="FFFFFF"/>
                <w:sz w:val="18"/>
              </w:rPr>
              <w:t>建议在立项/投后持续观察</w:t>
            </w:r>
          </w:p>
        </w:tc>
      </w:tr>
      <w:tr>
        <w:tc>
          <w:tcPr>
            <w:tcW w:type="dxa" w:w="4997"/>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需求与现金流</w:t>
            </w:r>
          </w:p>
        </w:tc>
        <w:tc>
          <w:tcPr>
            <w:tcW w:type="dxa" w:w="4997"/>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客户合同/订单覆盖、回款周期、单位经济性与下行情景</w:t>
            </w:r>
          </w:p>
        </w:tc>
      </w:tr>
      <w:tr>
        <w:tc>
          <w:tcPr>
            <w:tcW w:type="dxa" w:w="4997"/>
            <w:shd w:fill="F3F5F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资本与进度</w:t>
            </w:r>
          </w:p>
        </w:tc>
        <w:tc>
          <w:tcPr>
            <w:tcW w:type="dxa" w:w="4997"/>
            <w:shd w:fill="F3F5F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预算偏差、许可/建设里程碑、实际出资与产能爬坡</w:t>
            </w:r>
          </w:p>
        </w:tc>
      </w:tr>
      <w:tr>
        <w:tc>
          <w:tcPr>
            <w:tcW w:type="dxa" w:w="4997"/>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合规与韧性</w:t>
            </w:r>
          </w:p>
        </w:tc>
        <w:tc>
          <w:tcPr>
            <w:tcW w:type="dxa" w:w="4997"/>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准入许可、供应链/原产地、环境社会和退出触发条件</w:t>
            </w:r>
          </w:p>
        </w:tc>
      </w:tr>
    </w:tbl>
    <w:p>
      <w:pPr>
        <w:pStyle w:val="Heading1"/>
        <w:keepNext/>
      </w:pPr>
      <w:r>
        <w:rPr>
          <w:rFonts w:ascii="Microsoft YaHei" w:hAnsi="Microsoft YaHei" w:eastAsia="Microsoft YaHei"/>
          <w:b/>
          <w:color w:val="17264C"/>
          <w:sz w:val="34"/>
        </w:rPr>
        <w:t>行业投资额、占比与市场容量</w:t>
      </w:r>
    </w:p>
    <w:p>
      <w:pPr>
        <w:spacing w:after="140" w:line="307" w:lineRule="auto"/>
        <w:ind w:firstLine="403"/>
      </w:pPr>
      <w:r>
        <w:rPr>
          <w:rFonts w:ascii="Microsoft YaHei" w:hAnsi="Microsoft YaHei" w:eastAsia="Microsoft YaHei"/>
          <w:b w:val="0"/>
          <w:color w:val="292B30"/>
          <w:sz w:val="20"/>
        </w:rPr>
        <w:t>下表中的中国对外投资行业金额来自商务部2025年非金融类行业统计，分母为10404.2亿元人民币；金融业按全行业ODI统计另列。占比由公开金额计算，受四舍五入影响。全球市场指标用于衡量需求或资本环境，不等同于中资可投资市场、企业收入或目标公司的估值。</w:t>
      </w:r>
    </w:p>
    <w:tbl>
      <w:tblPr>
        <w:tblStyle w:val="TableGrid"/>
        <w:tblW w:type="auto" w:w="0"/>
        <w:jc w:val="center"/>
        <w:tblLayout w:type="autofit"/>
        <w:tblLook w:firstColumn="1" w:firstRow="1" w:lastColumn="0" w:lastRow="0" w:noHBand="0" w:noVBand="1" w:val="04A0"/>
      </w:tblPr>
      <w:tblGrid>
        <w:gridCol w:w="1999"/>
        <w:gridCol w:w="1999"/>
        <w:gridCol w:w="1999"/>
        <w:gridCol w:w="1999"/>
        <w:gridCol w:w="1999"/>
      </w:tblGrid>
      <w:tr>
        <w:trPr>
          <w:tblHeader w:val="true"/>
        </w:trPr>
        <w:tc>
          <w:tcPr>
            <w:tcW w:type="dxa" w:w="1999"/>
            <w:shd w:fill="17264C"/>
            <w:vAlign w:val="center"/>
            <w:tcMar>
              <w:top w:w="100" w:type="dxa"/>
              <w:start w:w="100" w:type="dxa"/>
              <w:bottom w:w="100" w:type="dxa"/>
              <w:end w:w="100" w:type="dxa"/>
            </w:tcMar>
          </w:tcPr>
          <w:p>
            <w:pPr>
              <w:spacing w:after="0" w:before="0"/>
            </w:pPr>
            <w:r/>
            <w:r>
              <w:rPr>
                <w:rFonts w:ascii="Microsoft YaHei" w:hAnsi="Microsoft YaHei" w:eastAsia="Microsoft YaHei"/>
                <w:b/>
                <w:color w:val="FFFFFF"/>
                <w:sz w:val="18"/>
              </w:rPr>
              <w:t>规模或趋势指标</w:t>
            </w:r>
          </w:p>
        </w:tc>
        <w:tc>
          <w:tcPr>
            <w:tcW w:type="dxa" w:w="1999"/>
            <w:shd w:fill="17264C"/>
            <w:vAlign w:val="center"/>
            <w:tcMar>
              <w:top w:w="100" w:type="dxa"/>
              <w:start w:w="100" w:type="dxa"/>
              <w:bottom w:w="100" w:type="dxa"/>
              <w:end w:w="100" w:type="dxa"/>
            </w:tcMar>
          </w:tcPr>
          <w:p>
            <w:pPr>
              <w:spacing w:after="0" w:before="0"/>
            </w:pPr>
            <w:r/>
            <w:r>
              <w:rPr>
                <w:rFonts w:ascii="Microsoft YaHei" w:hAnsi="Microsoft YaHei" w:eastAsia="Microsoft YaHei"/>
                <w:b/>
                <w:color w:val="FFFFFF"/>
                <w:sz w:val="18"/>
              </w:rPr>
              <w:t>2025/最新值</w:t>
            </w:r>
          </w:p>
        </w:tc>
        <w:tc>
          <w:tcPr>
            <w:tcW w:type="dxa" w:w="1999"/>
            <w:shd w:fill="17264C"/>
            <w:vAlign w:val="center"/>
            <w:tcMar>
              <w:top w:w="100" w:type="dxa"/>
              <w:start w:w="100" w:type="dxa"/>
              <w:bottom w:w="100" w:type="dxa"/>
              <w:end w:w="100" w:type="dxa"/>
            </w:tcMar>
          </w:tcPr>
          <w:p>
            <w:pPr>
              <w:spacing w:after="0" w:before="0"/>
            </w:pPr>
            <w:r/>
            <w:r>
              <w:rPr>
                <w:rFonts w:ascii="Microsoft YaHei" w:hAnsi="Microsoft YaHei" w:eastAsia="Microsoft YaHei"/>
                <w:b/>
                <w:color w:val="FFFFFF"/>
                <w:sz w:val="18"/>
              </w:rPr>
              <w:t>占比/范围</w:t>
            </w:r>
          </w:p>
        </w:tc>
        <w:tc>
          <w:tcPr>
            <w:tcW w:type="dxa" w:w="1999"/>
            <w:shd w:fill="17264C"/>
            <w:vAlign w:val="center"/>
            <w:tcMar>
              <w:top w:w="100" w:type="dxa"/>
              <w:start w:w="100" w:type="dxa"/>
              <w:bottom w:w="100" w:type="dxa"/>
              <w:end w:w="100" w:type="dxa"/>
            </w:tcMar>
          </w:tcPr>
          <w:p>
            <w:pPr>
              <w:spacing w:after="0" w:before="0"/>
            </w:pPr>
            <w:r/>
            <w:r>
              <w:rPr>
                <w:rFonts w:ascii="Microsoft YaHei" w:hAnsi="Microsoft YaHei" w:eastAsia="Microsoft YaHei"/>
                <w:b/>
                <w:color w:val="FFFFFF"/>
                <w:sz w:val="18"/>
              </w:rPr>
              <w:t>同比或趋势</w:t>
            </w:r>
          </w:p>
        </w:tc>
        <w:tc>
          <w:tcPr>
            <w:tcW w:type="dxa" w:w="1999"/>
            <w:shd w:fill="17264C"/>
            <w:vAlign w:val="center"/>
            <w:tcMar>
              <w:top w:w="100" w:type="dxa"/>
              <w:start w:w="100" w:type="dxa"/>
              <w:bottom w:w="100" w:type="dxa"/>
              <w:end w:w="100" w:type="dxa"/>
            </w:tcMar>
          </w:tcPr>
          <w:p>
            <w:pPr>
              <w:spacing w:after="0" w:before="0"/>
            </w:pPr>
            <w:r/>
            <w:r>
              <w:rPr>
                <w:rFonts w:ascii="Microsoft YaHei" w:hAnsi="Microsoft YaHei" w:eastAsia="Microsoft YaHei"/>
                <w:b/>
                <w:color w:val="FFFFFF"/>
                <w:sz w:val="18"/>
              </w:rPr>
              <w:t>数据解释</w:t>
            </w:r>
          </w:p>
        </w:tc>
      </w:tr>
      <w:tr>
        <w:tc>
          <w:tcPr>
            <w:tcW w:type="dxa" w:w="1999"/>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采矿业ODI</w:t>
            </w:r>
          </w:p>
        </w:tc>
        <w:tc>
          <w:tcPr>
            <w:tcW w:type="dxa" w:w="1999"/>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801亿元</w:t>
            </w:r>
          </w:p>
        </w:tc>
        <w:tc>
          <w:tcPr>
            <w:tcW w:type="dxa" w:w="1999"/>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7.7%</w:t>
            </w:r>
          </w:p>
        </w:tc>
        <w:tc>
          <w:tcPr>
            <w:tcW w:type="dxa" w:w="1999"/>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-10.3%</w:t>
            </w:r>
          </w:p>
        </w:tc>
        <w:tc>
          <w:tcPr>
            <w:tcW w:type="dxa" w:w="1999"/>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不等同关键矿产专项</w:t>
            </w:r>
          </w:p>
        </w:tc>
      </w:tr>
      <w:tr>
        <w:tc>
          <w:tcPr>
            <w:tcW w:type="dxa" w:w="1999"/>
            <w:shd w:fill="F3F5F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非金融制造业ODI</w:t>
            </w:r>
          </w:p>
        </w:tc>
        <w:tc>
          <w:tcPr>
            <w:tcW w:type="dxa" w:w="1999"/>
            <w:shd w:fill="F3F5F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2011亿元</w:t>
            </w:r>
          </w:p>
        </w:tc>
        <w:tc>
          <w:tcPr>
            <w:tcW w:type="dxa" w:w="1999"/>
            <w:shd w:fill="F3F5F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19.3%</w:t>
            </w:r>
          </w:p>
        </w:tc>
        <w:tc>
          <w:tcPr>
            <w:tcW w:type="dxa" w:w="1999"/>
            <w:shd w:fill="F3F5F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-4.6%</w:t>
            </w:r>
          </w:p>
        </w:tc>
        <w:tc>
          <w:tcPr>
            <w:tcW w:type="dxa" w:w="1999"/>
            <w:shd w:fill="F3F5F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覆盖材料和设备等制造活动</w:t>
            </w:r>
          </w:p>
        </w:tc>
      </w:tr>
      <w:tr>
        <w:tc>
          <w:tcPr>
            <w:tcW w:type="dxa" w:w="1999"/>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电力/燃气/水供应ODI</w:t>
            </w:r>
          </w:p>
        </w:tc>
        <w:tc>
          <w:tcPr>
            <w:tcW w:type="dxa" w:w="1999"/>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143亿元</w:t>
            </w:r>
          </w:p>
        </w:tc>
        <w:tc>
          <w:tcPr>
            <w:tcW w:type="dxa" w:w="1999"/>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1.4%</w:t>
            </w:r>
          </w:p>
        </w:tc>
        <w:tc>
          <w:tcPr>
            <w:tcW w:type="dxa" w:w="1999"/>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-69.0%</w:t>
            </w:r>
          </w:p>
        </w:tc>
        <w:tc>
          <w:tcPr>
            <w:tcW w:type="dxa" w:w="1999"/>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覆盖范围不等同新能源</w:t>
            </w:r>
          </w:p>
        </w:tc>
      </w:tr>
      <w:tr>
        <w:tc>
          <w:tcPr>
            <w:tcW w:type="dxa" w:w="1999"/>
            <w:shd w:fill="F3F5F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全球清洁能源投资</w:t>
            </w:r>
          </w:p>
        </w:tc>
        <w:tc>
          <w:tcPr>
            <w:tcW w:type="dxa" w:w="1999"/>
            <w:shd w:fill="F3F5F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约2.2万亿美元</w:t>
            </w:r>
          </w:p>
        </w:tc>
        <w:tc>
          <w:tcPr>
            <w:tcW w:type="dxa" w:w="1999"/>
            <w:shd w:fill="F3F5F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IEA定义清洁技术</w:t>
            </w:r>
          </w:p>
        </w:tc>
        <w:tc>
          <w:tcPr>
            <w:tcW w:type="dxa" w:w="1999"/>
            <w:shd w:fill="F3F5F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2025预计创纪录</w:t>
            </w:r>
          </w:p>
        </w:tc>
        <w:tc>
          <w:tcPr>
            <w:tcW w:type="dxa" w:w="1999"/>
            <w:shd w:fill="F3F5F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包括电网、储能、核能、效率等</w:t>
            </w:r>
          </w:p>
        </w:tc>
      </w:tr>
    </w:tbl>
    <w:p>
      <w:pPr>
        <w:spacing w:after="140" w:line="307" w:lineRule="auto"/>
        <w:ind w:firstLine="403"/>
      </w:pPr>
      <w:r>
        <w:rPr>
          <w:rFonts w:ascii="Microsoft YaHei" w:hAnsi="Microsoft YaHei" w:eastAsia="Microsoft YaHei"/>
          <w:b w:val="0"/>
          <w:color w:val="292B30"/>
          <w:sz w:val="20"/>
        </w:rPr>
        <w:t>投资判断应将“行业景气”拆成可转化为项目现金流的条件：产品获客、订单覆盖、资本强度、许可周期、产能利用率、价格/单位收入及退出机制。高增速小基数、跨行业统计和并购公告会产生显著偏差，模型应至少设置基准、下行和延迟三个情景。</w:t>
      </w:r>
    </w:p>
    <w:p>
      <w:pPr>
        <w:pStyle w:val="Heading1"/>
        <w:keepNext/>
      </w:pPr>
      <w:r>
        <w:rPr>
          <w:rFonts w:ascii="Microsoft YaHei" w:hAnsi="Microsoft YaHei" w:eastAsia="Microsoft YaHei"/>
          <w:b/>
          <w:color w:val="17264C"/>
          <w:sz w:val="34"/>
        </w:rPr>
        <w:t>七  建议的 90 天工作顺序</w:t>
      </w:r>
    </w:p>
    <w:tbl>
      <w:tblPr>
        <w:tblStyle w:val="TableGrid"/>
        <w:tblW w:type="auto" w:w="0"/>
        <w:jc w:val="center"/>
        <w:tblLayout w:type="autofit"/>
        <w:tblLook w:firstColumn="1" w:firstRow="1" w:lastColumn="0" w:lastRow="0" w:noHBand="0" w:noVBand="1" w:val="04A0"/>
      </w:tblPr>
      <w:tblGrid>
        <w:gridCol w:w="4997"/>
        <w:gridCol w:w="4997"/>
      </w:tblGrid>
      <w:tr>
        <w:trPr>
          <w:tblHeader w:val="true"/>
        </w:trPr>
        <w:tc>
          <w:tcPr>
            <w:tcW w:type="dxa" w:w="4997"/>
            <w:shd w:fill="17264C"/>
            <w:vAlign w:val="center"/>
            <w:tcMar>
              <w:top w:w="100" w:type="dxa"/>
              <w:start w:w="100" w:type="dxa"/>
              <w:bottom w:w="100" w:type="dxa"/>
              <w:end w:w="100" w:type="dxa"/>
            </w:tcMar>
          </w:tcPr>
          <w:p>
            <w:pPr>
              <w:spacing w:after="0" w:before="0"/>
            </w:pPr>
            <w:r/>
            <w:r>
              <w:rPr>
                <w:rFonts w:ascii="Microsoft YaHei" w:hAnsi="Microsoft YaHei" w:eastAsia="Microsoft YaHei"/>
                <w:b/>
                <w:color w:val="FFFFFF"/>
                <w:sz w:val="18"/>
              </w:rPr>
              <w:t>阶段</w:t>
            </w:r>
          </w:p>
        </w:tc>
        <w:tc>
          <w:tcPr>
            <w:tcW w:type="dxa" w:w="4997"/>
            <w:shd w:fill="17264C"/>
            <w:vAlign w:val="center"/>
            <w:tcMar>
              <w:top w:w="100" w:type="dxa"/>
              <w:start w:w="100" w:type="dxa"/>
              <w:bottom w:w="100" w:type="dxa"/>
              <w:end w:w="100" w:type="dxa"/>
            </w:tcMar>
          </w:tcPr>
          <w:p>
            <w:pPr>
              <w:spacing w:after="0" w:before="0"/>
            </w:pPr>
            <w:r/>
            <w:r>
              <w:rPr>
                <w:rFonts w:ascii="Microsoft YaHei" w:hAnsi="Microsoft YaHei" w:eastAsia="Microsoft YaHei"/>
                <w:b/>
                <w:color w:val="FFFFFF"/>
                <w:sz w:val="18"/>
              </w:rPr>
              <w:t>建议动作</w:t>
            </w:r>
          </w:p>
        </w:tc>
      </w:tr>
      <w:tr>
        <w:tc>
          <w:tcPr>
            <w:tcW w:type="dxa" w:w="4997"/>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第 1 阶段</w:t>
            </w:r>
          </w:p>
        </w:tc>
        <w:tc>
          <w:tcPr>
            <w:tcW w:type="dxa" w:w="4997"/>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0—30天：资源、技术、客户、许可和资金来源初筛；开展国家和项目的敏感性分析。</w:t>
            </w:r>
          </w:p>
        </w:tc>
      </w:tr>
      <w:tr>
        <w:tc>
          <w:tcPr>
            <w:tcW w:type="dxa" w:w="4997"/>
            <w:shd w:fill="F3F5F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第 2 阶段</w:t>
            </w:r>
          </w:p>
        </w:tc>
        <w:tc>
          <w:tcPr>
            <w:tcW w:type="dxa" w:w="4997"/>
            <w:shd w:fill="F3F5F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30—60天：核验资源与环境社会尽调、合资治理、出资节奏、许可前置条件及中国 ODI 申报。</w:t>
            </w:r>
          </w:p>
        </w:tc>
      </w:tr>
      <w:tr>
        <w:tc>
          <w:tcPr>
            <w:tcW w:type="dxa" w:w="4997"/>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第 3 阶段</w:t>
            </w:r>
          </w:p>
        </w:tc>
        <w:tc>
          <w:tcPr>
            <w:tcW w:type="dxa" w:w="4997"/>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60—90天：公司设立、账户授权、资本金/股东贷款方案与项目财务控制上线。</w:t>
            </w:r>
          </w:p>
        </w:tc>
      </w:tr>
    </w:tbl>
    <w:p>
      <w:pPr>
        <w:pStyle w:val="Heading1"/>
        <w:keepNext/>
      </w:pPr>
      <w:r>
        <w:rPr>
          <w:rFonts w:ascii="Microsoft YaHei" w:hAnsi="Microsoft YaHei" w:eastAsia="Microsoft YaHei"/>
          <w:b/>
          <w:color w:val="17264C"/>
          <w:sz w:val="34"/>
        </w:rPr>
        <w:t>研究说明与资料来源</w:t>
      </w:r>
    </w:p>
    <w:p>
      <w:pPr>
        <w:spacing w:after="140" w:line="307" w:lineRule="auto"/>
        <w:ind w:firstLine="403"/>
      </w:pPr>
      <w:r>
        <w:rPr>
          <w:rFonts w:ascii="Microsoft YaHei" w:hAnsi="Microsoft YaHei" w:eastAsia="Microsoft YaHei"/>
          <w:b w:val="0"/>
          <w:color w:val="292B30"/>
          <w:sz w:val="20"/>
        </w:rPr>
        <w:t>统计口径说明：全行业 ODI 与非金融类 ODI 不能直接互换；人民币和美元同比受汇率及统计修订影响；并购公告金额可能含未交割交易；不同机构数据库对交易对象、宣布时间、完成状态和目的地归属采用不同规则。本报告在相关指标处注明口径，重大投资或法规决策应基于项目事实重新核验。</w:t>
      </w:r>
    </w:p>
    <w:p>
      <w:pPr>
        <w:pStyle w:val="Heading1"/>
        <w:keepNext/>
      </w:pPr>
      <w:r>
        <w:rPr>
          <w:rFonts w:ascii="Microsoft YaHei" w:hAnsi="Microsoft YaHei" w:eastAsia="Microsoft YaHei"/>
          <w:b/>
          <w:color w:val="17264C"/>
          <w:sz w:val="34"/>
        </w:rPr>
        <w:t>附录  中国对外直接投资长期流量序列</w:t>
      </w:r>
    </w:p>
    <w:p>
      <w:pPr>
        <w:spacing w:after="140" w:line="307" w:lineRule="auto"/>
        <w:ind w:firstLine="403"/>
      </w:pPr>
      <w:r>
        <w:rPr>
          <w:rFonts w:ascii="Microsoft YaHei" w:hAnsi="Microsoft YaHei" w:eastAsia="Microsoft YaHei"/>
          <w:b w:val="0"/>
          <w:color w:val="292B30"/>
          <w:sz w:val="20"/>
        </w:rPr>
        <w:t>为观察长期趋势，本表采用商务部统计公报发布的2006—2024年年度序列，并补入2025年最终公报数据。单位为亿美元。2006年以前的早期数据统计范围与全行业 ODI 不完全一致，故不与本序列拼接。</w:t>
      </w:r>
    </w:p>
    <w:tbl>
      <w:tblPr>
        <w:tblStyle w:val="TableGrid"/>
        <w:tblW w:type="auto" w:w="0"/>
        <w:jc w:val="center"/>
        <w:tblLayout w:type="autofit"/>
        <w:tblLook w:firstColumn="1" w:firstRow="1" w:lastColumn="0" w:lastRow="0" w:noHBand="0" w:noVBand="1" w:val="04A0"/>
      </w:tblPr>
      <w:tblGrid>
        <w:gridCol w:w="2498"/>
        <w:gridCol w:w="2498"/>
        <w:gridCol w:w="2498"/>
        <w:gridCol w:w="2498"/>
      </w:tblGrid>
      <w:tr>
        <w:trPr>
          <w:tblHeader w:val="true"/>
        </w:trPr>
        <w:tc>
          <w:tcPr>
            <w:tcW w:type="dxa" w:w="2498"/>
            <w:shd w:fill="17264C"/>
            <w:vAlign w:val="center"/>
            <w:tcMar>
              <w:top w:w="100" w:type="dxa"/>
              <w:start w:w="100" w:type="dxa"/>
              <w:bottom w:w="100" w:type="dxa"/>
              <w:end w:w="100" w:type="dxa"/>
            </w:tcMar>
          </w:tcPr>
          <w:p>
            <w:pPr>
              <w:spacing w:after="0" w:before="0"/>
            </w:pPr>
            <w:r/>
            <w:r>
              <w:rPr>
                <w:rFonts w:ascii="Microsoft YaHei" w:hAnsi="Microsoft YaHei" w:eastAsia="Microsoft YaHei"/>
                <w:b/>
                <w:color w:val="FFFFFF"/>
                <w:sz w:val="18"/>
              </w:rPr>
              <w:t>年份</w:t>
            </w:r>
          </w:p>
        </w:tc>
        <w:tc>
          <w:tcPr>
            <w:tcW w:type="dxa" w:w="2498"/>
            <w:shd w:fill="17264C"/>
            <w:vAlign w:val="center"/>
            <w:tcMar>
              <w:top w:w="100" w:type="dxa"/>
              <w:start w:w="100" w:type="dxa"/>
              <w:bottom w:w="100" w:type="dxa"/>
              <w:end w:w="100" w:type="dxa"/>
            </w:tcMar>
          </w:tcPr>
          <w:p>
            <w:pPr>
              <w:spacing w:after="0" w:before="0"/>
            </w:pPr>
            <w:r/>
            <w:r>
              <w:rPr>
                <w:rFonts w:ascii="Microsoft YaHei" w:hAnsi="Microsoft YaHei" w:eastAsia="Microsoft YaHei"/>
                <w:b/>
                <w:color w:val="FFFFFF"/>
                <w:sz w:val="18"/>
              </w:rPr>
              <w:t>流量（亿美元）</w:t>
            </w:r>
          </w:p>
        </w:tc>
        <w:tc>
          <w:tcPr>
            <w:tcW w:type="dxa" w:w="2498"/>
            <w:shd w:fill="17264C"/>
            <w:vAlign w:val="center"/>
            <w:tcMar>
              <w:top w:w="100" w:type="dxa"/>
              <w:start w:w="100" w:type="dxa"/>
              <w:bottom w:w="100" w:type="dxa"/>
              <w:end w:w="100" w:type="dxa"/>
            </w:tcMar>
          </w:tcPr>
          <w:p>
            <w:pPr>
              <w:spacing w:after="0" w:before="0"/>
            </w:pPr>
            <w:r/>
            <w:r>
              <w:rPr>
                <w:rFonts w:ascii="Microsoft YaHei" w:hAnsi="Microsoft YaHei" w:eastAsia="Microsoft YaHei"/>
                <w:b/>
                <w:color w:val="FFFFFF"/>
                <w:sz w:val="18"/>
              </w:rPr>
              <w:t>年份</w:t>
            </w:r>
          </w:p>
        </w:tc>
        <w:tc>
          <w:tcPr>
            <w:tcW w:type="dxa" w:w="2498"/>
            <w:shd w:fill="17264C"/>
            <w:vAlign w:val="center"/>
            <w:tcMar>
              <w:top w:w="100" w:type="dxa"/>
              <w:start w:w="100" w:type="dxa"/>
              <w:bottom w:w="100" w:type="dxa"/>
              <w:end w:w="100" w:type="dxa"/>
            </w:tcMar>
          </w:tcPr>
          <w:p>
            <w:pPr>
              <w:spacing w:after="0" w:before="0"/>
            </w:pPr>
            <w:r/>
            <w:r>
              <w:rPr>
                <w:rFonts w:ascii="Microsoft YaHei" w:hAnsi="Microsoft YaHei" w:eastAsia="Microsoft YaHei"/>
                <w:b/>
                <w:color w:val="FFFFFF"/>
                <w:sz w:val="18"/>
              </w:rPr>
              <w:t>流量（亿美元）</w:t>
            </w:r>
          </w:p>
        </w:tc>
      </w:tr>
      <w:tr>
        <w:tc>
          <w:tcPr>
            <w:tcW w:type="dxa" w:w="249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2006</w:t>
            </w:r>
          </w:p>
        </w:tc>
        <w:tc>
          <w:tcPr>
            <w:tcW w:type="dxa" w:w="249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211.6</w:t>
            </w:r>
          </w:p>
        </w:tc>
        <w:tc>
          <w:tcPr>
            <w:tcW w:type="dxa" w:w="249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2016</w:t>
            </w:r>
          </w:p>
        </w:tc>
        <w:tc>
          <w:tcPr>
            <w:tcW w:type="dxa" w:w="249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1,961.5</w:t>
            </w:r>
          </w:p>
        </w:tc>
      </w:tr>
      <w:tr>
        <w:tc>
          <w:tcPr>
            <w:tcW w:type="dxa" w:w="2498"/>
            <w:shd w:fill="F3F5F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2007</w:t>
            </w:r>
          </w:p>
        </w:tc>
        <w:tc>
          <w:tcPr>
            <w:tcW w:type="dxa" w:w="2498"/>
            <w:shd w:fill="F3F5F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265.1</w:t>
            </w:r>
          </w:p>
        </w:tc>
        <w:tc>
          <w:tcPr>
            <w:tcW w:type="dxa" w:w="2498"/>
            <w:shd w:fill="F3F5F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2017</w:t>
            </w:r>
          </w:p>
        </w:tc>
        <w:tc>
          <w:tcPr>
            <w:tcW w:type="dxa" w:w="2498"/>
            <w:shd w:fill="F3F5F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1,582.9</w:t>
            </w:r>
          </w:p>
        </w:tc>
      </w:tr>
      <w:tr>
        <w:tc>
          <w:tcPr>
            <w:tcW w:type="dxa" w:w="249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2008</w:t>
            </w:r>
          </w:p>
        </w:tc>
        <w:tc>
          <w:tcPr>
            <w:tcW w:type="dxa" w:w="249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559.1</w:t>
            </w:r>
          </w:p>
        </w:tc>
        <w:tc>
          <w:tcPr>
            <w:tcW w:type="dxa" w:w="249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2018</w:t>
            </w:r>
          </w:p>
        </w:tc>
        <w:tc>
          <w:tcPr>
            <w:tcW w:type="dxa" w:w="249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1,430.4</w:t>
            </w:r>
          </w:p>
        </w:tc>
      </w:tr>
      <w:tr>
        <w:tc>
          <w:tcPr>
            <w:tcW w:type="dxa" w:w="2498"/>
            <w:shd w:fill="F3F5F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2009</w:t>
            </w:r>
          </w:p>
        </w:tc>
        <w:tc>
          <w:tcPr>
            <w:tcW w:type="dxa" w:w="2498"/>
            <w:shd w:fill="F3F5F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565.3</w:t>
            </w:r>
          </w:p>
        </w:tc>
        <w:tc>
          <w:tcPr>
            <w:tcW w:type="dxa" w:w="2498"/>
            <w:shd w:fill="F3F5F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2019</w:t>
            </w:r>
          </w:p>
        </w:tc>
        <w:tc>
          <w:tcPr>
            <w:tcW w:type="dxa" w:w="2498"/>
            <w:shd w:fill="F3F5F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1,369.1</w:t>
            </w:r>
          </w:p>
        </w:tc>
      </w:tr>
      <w:tr>
        <w:tc>
          <w:tcPr>
            <w:tcW w:type="dxa" w:w="249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2010</w:t>
            </w:r>
          </w:p>
        </w:tc>
        <w:tc>
          <w:tcPr>
            <w:tcW w:type="dxa" w:w="249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688.1</w:t>
            </w:r>
          </w:p>
        </w:tc>
        <w:tc>
          <w:tcPr>
            <w:tcW w:type="dxa" w:w="249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2020</w:t>
            </w:r>
          </w:p>
        </w:tc>
        <w:tc>
          <w:tcPr>
            <w:tcW w:type="dxa" w:w="249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1,537.1</w:t>
            </w:r>
          </w:p>
        </w:tc>
      </w:tr>
      <w:tr>
        <w:tc>
          <w:tcPr>
            <w:tcW w:type="dxa" w:w="2498"/>
            <w:shd w:fill="F3F5F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2011</w:t>
            </w:r>
          </w:p>
        </w:tc>
        <w:tc>
          <w:tcPr>
            <w:tcW w:type="dxa" w:w="2498"/>
            <w:shd w:fill="F3F5F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746.5</w:t>
            </w:r>
          </w:p>
        </w:tc>
        <w:tc>
          <w:tcPr>
            <w:tcW w:type="dxa" w:w="2498"/>
            <w:shd w:fill="F3F5F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2021</w:t>
            </w:r>
          </w:p>
        </w:tc>
        <w:tc>
          <w:tcPr>
            <w:tcW w:type="dxa" w:w="2498"/>
            <w:shd w:fill="F3F5F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1,788.2</w:t>
            </w:r>
          </w:p>
        </w:tc>
      </w:tr>
      <w:tr>
        <w:tc>
          <w:tcPr>
            <w:tcW w:type="dxa" w:w="249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2012</w:t>
            </w:r>
          </w:p>
        </w:tc>
        <w:tc>
          <w:tcPr>
            <w:tcW w:type="dxa" w:w="249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878.0</w:t>
            </w:r>
          </w:p>
        </w:tc>
        <w:tc>
          <w:tcPr>
            <w:tcW w:type="dxa" w:w="249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2022</w:t>
            </w:r>
          </w:p>
        </w:tc>
        <w:tc>
          <w:tcPr>
            <w:tcW w:type="dxa" w:w="249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1,631.2</w:t>
            </w:r>
          </w:p>
        </w:tc>
      </w:tr>
      <w:tr>
        <w:tc>
          <w:tcPr>
            <w:tcW w:type="dxa" w:w="2498"/>
            <w:shd w:fill="F3F5F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2013</w:t>
            </w:r>
          </w:p>
        </w:tc>
        <w:tc>
          <w:tcPr>
            <w:tcW w:type="dxa" w:w="2498"/>
            <w:shd w:fill="F3F5F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1,078.4</w:t>
            </w:r>
          </w:p>
        </w:tc>
        <w:tc>
          <w:tcPr>
            <w:tcW w:type="dxa" w:w="2498"/>
            <w:shd w:fill="F3F5F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2023</w:t>
            </w:r>
          </w:p>
        </w:tc>
        <w:tc>
          <w:tcPr>
            <w:tcW w:type="dxa" w:w="2498"/>
            <w:shd w:fill="F3F5F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1,772.9</w:t>
            </w:r>
          </w:p>
        </w:tc>
      </w:tr>
      <w:tr>
        <w:tc>
          <w:tcPr>
            <w:tcW w:type="dxa" w:w="249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2014</w:t>
            </w:r>
          </w:p>
        </w:tc>
        <w:tc>
          <w:tcPr>
            <w:tcW w:type="dxa" w:w="249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1,231.2</w:t>
            </w:r>
          </w:p>
        </w:tc>
        <w:tc>
          <w:tcPr>
            <w:tcW w:type="dxa" w:w="249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2024</w:t>
            </w:r>
          </w:p>
        </w:tc>
        <w:tc>
          <w:tcPr>
            <w:tcW w:type="dxa" w:w="249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1,922.0</w:t>
            </w:r>
          </w:p>
        </w:tc>
      </w:tr>
      <w:tr>
        <w:tc>
          <w:tcPr>
            <w:tcW w:type="dxa" w:w="2498"/>
            <w:shd w:fill="F3F5F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2015</w:t>
            </w:r>
          </w:p>
        </w:tc>
        <w:tc>
          <w:tcPr>
            <w:tcW w:type="dxa" w:w="2498"/>
            <w:shd w:fill="F3F5F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1,456.7</w:t>
            </w:r>
          </w:p>
        </w:tc>
        <w:tc>
          <w:tcPr>
            <w:tcW w:type="dxa" w:w="2498"/>
            <w:shd w:fill="F3F5F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2025</w:t>
            </w:r>
          </w:p>
        </w:tc>
        <w:tc>
          <w:tcPr>
            <w:tcW w:type="dxa" w:w="2498"/>
            <w:shd w:fill="F3F5F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2,135.8</w:t>
            </w:r>
          </w:p>
        </w:tc>
      </w:tr>
    </w:tbl>
    <w:tbl>
      <w:tblPr>
        <w:tblW w:type="auto" w:w="0"/>
        <w:jc w:val="center"/>
        <w:tblLook w:firstColumn="1" w:firstRow="1" w:lastColumn="0" w:lastRow="0" w:noHBand="0" w:noVBand="1" w:val="04A0"/>
      </w:tblPr>
      <w:tblGrid>
        <w:gridCol w:w="9994"/>
      </w:tblGrid>
      <w:tr>
        <w:tc>
          <w:tcPr>
            <w:tcW w:type="dxa" w:w="9994"/>
            <w:shd w:fill="FFF2EC"/>
            <w:tcMar>
              <w:top w:w="160" w:type="dxa"/>
              <w:start w:w="200" w:type="dxa"/>
              <w:bottom w:w="160" w:type="dxa"/>
              <w:end w:w="200" w:type="dxa"/>
            </w:tcMar>
          </w:tcPr>
          <w:p>
            <w:pPr>
              <w:spacing w:after="60"/>
            </w:pPr>
            <w:r/>
            <w:r>
              <w:rPr>
                <w:rFonts w:ascii="Microsoft YaHei" w:hAnsi="Microsoft YaHei" w:eastAsia="Microsoft YaHei"/>
                <w:b/>
                <w:color w:val="E9562B"/>
                <w:sz w:val="18"/>
              </w:rPr>
              <w:t>趋势解读</w:t>
            </w:r>
          </w:p>
          <w:p>
            <w:pPr>
              <w:spacing w:after="0" w:line="288" w:lineRule="auto"/>
            </w:pPr>
            <w:r>
              <w:rPr>
                <w:rFonts w:ascii="Microsoft YaHei" w:hAnsi="Microsoft YaHei" w:eastAsia="Microsoft YaHei"/>
                <w:b w:val="0"/>
                <w:color w:val="292B30"/>
                <w:sz w:val="20"/>
              </w:rPr>
              <w:t>2025年为最终统计公报发布值，2135.8亿美元；它比2024年最终公布值1922.0亿美元高11.1%。不同年度公报可能修订历史分项，跨年分析应以同一版本序列为基础。</w:t>
            </w:r>
          </w:p>
        </w:tc>
      </w:tr>
    </w:tbl>
    <w:p>
      <w:pPr>
        <w:spacing w:after="60"/>
        <w:ind w:left="317" w:hanging="317"/>
      </w:pPr>
      <w:r>
        <w:rPr>
          <w:rFonts w:ascii="Microsoft YaHei" w:hAnsi="Microsoft YaHei" w:eastAsia="Microsoft YaHei"/>
          <w:b w:val="0"/>
          <w:color w:val="292B30"/>
          <w:sz w:val="17"/>
        </w:rPr>
        <w:t xml:space="preserve">[1] 国家统计局《中华人民共和国2025年国民经济和社会发展统计公报》  </w:t>
      </w:r>
      <w:hyperlink r:id="rId12">
        <w:r>
          <w:rPr>
            <w:color w:val="E9562B"/>
            <w:u w:val="single"/>
          </w:rPr>
          <w:t>查看原文</w:t>
        </w:r>
      </w:hyperlink>
    </w:p>
    <w:p>
      <w:pPr>
        <w:spacing w:after="60"/>
        <w:ind w:left="317" w:hanging="317"/>
      </w:pPr>
      <w:r>
        <w:rPr>
          <w:rFonts w:ascii="Microsoft YaHei" w:hAnsi="Microsoft YaHei" w:eastAsia="Microsoft YaHei"/>
          <w:b w:val="0"/>
          <w:color w:val="292B30"/>
          <w:sz w:val="17"/>
        </w:rPr>
        <w:t xml:space="preserve">[2] 商务部等《2025年度中国对外直接投资统计公报》  </w:t>
      </w:r>
      <w:hyperlink r:id="rId13">
        <w:r>
          <w:rPr>
            <w:color w:val="E9562B"/>
            <w:u w:val="single"/>
          </w:rPr>
          <w:t>查看原文</w:t>
        </w:r>
      </w:hyperlink>
    </w:p>
    <w:p>
      <w:pPr>
        <w:spacing w:after="60"/>
        <w:ind w:left="317" w:hanging="317"/>
      </w:pPr>
      <w:r>
        <w:rPr>
          <w:rFonts w:ascii="Microsoft YaHei" w:hAnsi="Microsoft YaHei" w:eastAsia="Microsoft YaHei"/>
          <w:b w:val="0"/>
          <w:color w:val="292B30"/>
          <w:sz w:val="17"/>
        </w:rPr>
        <w:t xml:space="preserve">[3] EY《2025年中国海外投资概览》  </w:t>
      </w:r>
      <w:hyperlink r:id="rId14">
        <w:r>
          <w:rPr>
            <w:color w:val="E9562B"/>
            <w:u w:val="single"/>
          </w:rPr>
          <w:t>查看原文</w:t>
        </w:r>
      </w:hyperlink>
    </w:p>
    <w:p>
      <w:pPr>
        <w:spacing w:after="60"/>
        <w:ind w:left="317" w:hanging="317"/>
      </w:pPr>
      <w:r>
        <w:rPr>
          <w:rFonts w:ascii="Microsoft YaHei" w:hAnsi="Microsoft YaHei" w:eastAsia="Microsoft YaHei"/>
          <w:b w:val="0"/>
          <w:color w:val="292B30"/>
          <w:sz w:val="17"/>
        </w:rPr>
        <w:t xml:space="preserve">[4] EY《Overview of 2025 China outbound investment》报告全文  </w:t>
      </w:r>
      <w:hyperlink r:id="rId15">
        <w:r>
          <w:rPr>
            <w:color w:val="E9562B"/>
            <w:u w:val="single"/>
          </w:rPr>
          <w:t>查看原文</w:t>
        </w:r>
      </w:hyperlink>
    </w:p>
    <w:p>
      <w:pPr>
        <w:spacing w:after="60"/>
        <w:ind w:left="317" w:hanging="317"/>
      </w:pPr>
      <w:r>
        <w:rPr>
          <w:rFonts w:ascii="Microsoft YaHei" w:hAnsi="Microsoft YaHei" w:eastAsia="Microsoft YaHei"/>
          <w:b w:val="0"/>
          <w:color w:val="292B30"/>
          <w:sz w:val="17"/>
        </w:rPr>
        <w:t xml:space="preserve">[5] 宁德时代：印尼电池产业链项目正式动工  </w:t>
      </w:r>
      <w:hyperlink r:id="rId16">
        <w:r>
          <w:rPr>
            <w:color w:val="E9562B"/>
            <w:u w:val="single"/>
          </w:rPr>
          <w:t>查看原文</w:t>
        </w:r>
      </w:hyperlink>
    </w:p>
    <w:p>
      <w:pPr>
        <w:spacing w:after="60"/>
        <w:ind w:left="317" w:hanging="317"/>
      </w:pPr>
      <w:r>
        <w:rPr>
          <w:rFonts w:ascii="Microsoft YaHei" w:hAnsi="Microsoft YaHei" w:eastAsia="Microsoft YaHei"/>
          <w:b w:val="0"/>
          <w:color w:val="292B30"/>
          <w:sz w:val="17"/>
        </w:rPr>
        <w:t xml:space="preserve">[6] Rhodium Group《China’s Global Investment Grew in 2025, But Exports Outpaced Offshoring》  </w:t>
      </w:r>
      <w:hyperlink r:id="rId17">
        <w:r>
          <w:rPr>
            <w:color w:val="E9562B"/>
            <w:u w:val="single"/>
          </w:rPr>
          <w:t>查看原文</w:t>
        </w:r>
      </w:hyperlink>
    </w:p>
    <w:p>
      <w:pPr>
        <w:spacing w:after="60"/>
        <w:ind w:left="317" w:hanging="317"/>
      </w:pPr>
      <w:r>
        <w:rPr>
          <w:rFonts w:ascii="Microsoft YaHei" w:hAnsi="Microsoft YaHei" w:eastAsia="Microsoft YaHei"/>
          <w:b w:val="0"/>
          <w:color w:val="292B30"/>
          <w:sz w:val="17"/>
        </w:rPr>
        <w:t xml:space="preserve">[7] 商务部《2025年我国对外非金融类直接投资简明统计》  </w:t>
      </w:r>
      <w:hyperlink r:id="rId18">
        <w:r>
          <w:rPr>
            <w:color w:val="E9562B"/>
            <w:u w:val="single"/>
          </w:rPr>
          <w:t>查看原文</w:t>
        </w:r>
      </w:hyperlink>
    </w:p>
    <w:p>
      <w:pPr>
        <w:spacing w:after="60"/>
        <w:ind w:left="317" w:hanging="317"/>
      </w:pPr>
      <w:r>
        <w:rPr>
          <w:rFonts w:ascii="Microsoft YaHei" w:hAnsi="Microsoft YaHei" w:eastAsia="Microsoft YaHei"/>
          <w:b w:val="0"/>
          <w:color w:val="292B30"/>
          <w:sz w:val="17"/>
        </w:rPr>
        <w:t xml:space="preserve">[8] 商务部《2025年对外非金融类直接投资行业统计表》  </w:t>
      </w:r>
      <w:hyperlink r:id="rId19">
        <w:r>
          <w:rPr>
            <w:color w:val="E9562B"/>
            <w:u w:val="single"/>
          </w:rPr>
          <w:t>查看原文</w:t>
        </w:r>
      </w:hyperlink>
    </w:p>
    <w:p>
      <w:pPr>
        <w:spacing w:after="60"/>
        <w:ind w:left="317" w:hanging="317"/>
      </w:pPr>
      <w:r>
        <w:rPr>
          <w:rFonts w:ascii="Microsoft YaHei" w:hAnsi="Microsoft YaHei" w:eastAsia="Microsoft YaHei"/>
          <w:b w:val="0"/>
          <w:color w:val="292B30"/>
          <w:sz w:val="17"/>
        </w:rPr>
        <w:t xml:space="preserve">[9] EY《2025年中国海外投资概览》及地区并购数据  </w:t>
      </w:r>
      <w:hyperlink r:id="rId14">
        <w:r>
          <w:rPr>
            <w:color w:val="E9562B"/>
            <w:u w:val="single"/>
          </w:rPr>
          <w:t>查看原文</w:t>
        </w:r>
      </w:hyperlink>
    </w:p>
    <w:p>
      <w:pPr>
        <w:spacing w:after="60"/>
        <w:ind w:left="317" w:hanging="317"/>
      </w:pPr>
      <w:r>
        <w:rPr>
          <w:rFonts w:ascii="Microsoft YaHei" w:hAnsi="Microsoft YaHei" w:eastAsia="Microsoft YaHei"/>
          <w:b w:val="0"/>
          <w:color w:val="292B30"/>
          <w:sz w:val="17"/>
        </w:rPr>
        <w:t xml:space="preserve">[10] 国际能源署《World Energy Investment 2025》  </w:t>
      </w:r>
      <w:hyperlink r:id="rId20">
        <w:r>
          <w:rPr>
            <w:color w:val="E9562B"/>
            <w:u w:val="single"/>
          </w:rPr>
          <w:t>查看原文</w:t>
        </w:r>
      </w:hyperlink>
    </w:p>
    <w:p>
      <w:pPr>
        <w:spacing w:after="60"/>
        <w:ind w:left="317" w:hanging="317"/>
      </w:pPr>
      <w:r>
        <w:rPr>
          <w:rFonts w:ascii="Microsoft YaHei" w:hAnsi="Microsoft YaHei" w:eastAsia="Microsoft YaHei"/>
          <w:b w:val="0"/>
          <w:color w:val="292B30"/>
          <w:sz w:val="17"/>
        </w:rPr>
        <w:t xml:space="preserve">[11] 哈萨克斯坦外交部：东方希望集团有色金属深加工项目  </w:t>
      </w:r>
      <w:hyperlink r:id="rId21">
        <w:r>
          <w:rPr>
            <w:color w:val="E9562B"/>
            <w:u w:val="single"/>
          </w:rPr>
          <w:t>查看原文</w:t>
        </w:r>
      </w:hyperlink>
    </w:p>
    <w:p>
      <w:pPr>
        <w:spacing w:after="60"/>
        <w:ind w:left="317" w:hanging="317"/>
      </w:pPr>
      <w:r>
        <w:rPr>
          <w:rFonts w:ascii="Microsoft YaHei" w:hAnsi="Microsoft YaHei" w:eastAsia="Microsoft YaHei"/>
          <w:b w:val="0"/>
          <w:color w:val="292B30"/>
          <w:sz w:val="17"/>
        </w:rPr>
        <w:t xml:space="preserve">[12] 维多利亚州政府《中国战略》：Goldwind及汇付海外项目案例  </w:t>
      </w:r>
      <w:hyperlink r:id="rId22">
        <w:r>
          <w:rPr>
            <w:color w:val="E9562B"/>
            <w:u w:val="single"/>
          </w:rPr>
          <w:t>查看原文</w:t>
        </w:r>
      </w:hyperlink>
    </w:p>
    <w:p>
      <w:pPr>
        <w:spacing w:after="60"/>
        <w:ind w:left="317" w:hanging="317"/>
      </w:pPr>
      <w:r>
        <w:rPr>
          <w:rFonts w:ascii="Microsoft YaHei" w:hAnsi="Microsoft YaHei" w:eastAsia="Microsoft YaHei"/>
          <w:b w:val="0"/>
          <w:color w:val="292B30"/>
          <w:sz w:val="17"/>
        </w:rPr>
        <w:t xml:space="preserve">[13] 印尼投资与下游产业部2025年第5号条例：外资公司资本及投资规则  </w:t>
      </w:r>
      <w:hyperlink r:id="rId23">
        <w:r>
          <w:rPr>
            <w:color w:val="E9562B"/>
            <w:u w:val="single"/>
          </w:rPr>
          <w:t>查看原文</w:t>
        </w:r>
      </w:hyperlink>
    </w:p>
    <w:p>
      <w:pPr>
        <w:spacing w:after="60"/>
        <w:ind w:left="317" w:hanging="317"/>
      </w:pPr>
      <w:r>
        <w:rPr>
          <w:rFonts w:ascii="Microsoft YaHei" w:hAnsi="Microsoft YaHei" w:eastAsia="Microsoft YaHei"/>
          <w:b w:val="0"/>
          <w:color w:val="292B30"/>
          <w:sz w:val="17"/>
        </w:rPr>
        <w:t xml:space="preserve">[14] 泰国投资促进委员会：外资企业设立、最低资本及优惠  </w:t>
      </w:r>
      <w:hyperlink r:id="rId24">
        <w:r>
          <w:rPr>
            <w:color w:val="E9562B"/>
            <w:u w:val="single"/>
          </w:rPr>
          <w:t>查看原文</w:t>
        </w:r>
      </w:hyperlink>
    </w:p>
    <w:p>
      <w:pPr>
        <w:spacing w:after="60"/>
        <w:ind w:left="317" w:hanging="317"/>
      </w:pPr>
      <w:r>
        <w:rPr>
          <w:rFonts w:ascii="Microsoft YaHei" w:hAnsi="Microsoft YaHei" w:eastAsia="Microsoft YaHei"/>
          <w:b w:val="0"/>
          <w:color w:val="292B30"/>
          <w:sz w:val="17"/>
        </w:rPr>
        <w:t xml:space="preserve">[15] 巴西 SUFRAMA：玛瑙斯自由贸易区激励  </w:t>
      </w:r>
      <w:hyperlink r:id="rId25">
        <w:r>
          <w:rPr>
            <w:color w:val="E9562B"/>
            <w:u w:val="single"/>
          </w:rPr>
          <w:t>查看原文</w:t>
        </w:r>
      </w:hyperlink>
    </w:p>
    <w:p>
      <w:pPr>
        <w:spacing w:after="60"/>
        <w:ind w:left="317" w:hanging="317"/>
      </w:pPr>
      <w:r>
        <w:rPr>
          <w:rFonts w:ascii="Microsoft YaHei" w:hAnsi="Microsoft YaHei" w:eastAsia="Microsoft YaHei"/>
          <w:b w:val="0"/>
          <w:color w:val="292B30"/>
          <w:sz w:val="17"/>
        </w:rPr>
        <w:t xml:space="preserve">[16] 欧盟委员会：外国直接投资审查框架  </w:t>
      </w:r>
      <w:hyperlink r:id="rId26">
        <w:r>
          <w:rPr>
            <w:color w:val="E9562B"/>
            <w:u w:val="single"/>
          </w:rPr>
          <w:t>查看原文</w:t>
        </w:r>
      </w:hyperlink>
    </w:p>
    <w:p>
      <w:pPr>
        <w:spacing w:after="60"/>
        <w:ind w:left="317" w:hanging="317"/>
      </w:pPr>
      <w:r>
        <w:rPr>
          <w:rFonts w:ascii="Microsoft YaHei" w:hAnsi="Microsoft YaHei" w:eastAsia="Microsoft YaHei"/>
          <w:b w:val="0"/>
          <w:color w:val="292B30"/>
          <w:sz w:val="17"/>
        </w:rPr>
        <w:t xml:space="preserve">[17] 商务部等《2024年度中国对外直接投资统计公报》历史流量图表  </w:t>
      </w:r>
      <w:hyperlink r:id="rId27">
        <w:r>
          <w:rPr>
            <w:color w:val="E9562B"/>
            <w:u w:val="single"/>
          </w:rPr>
          <w:t>查看原文</w:t>
        </w:r>
      </w:hyperlink>
    </w:p>
    <w:p>
      <w:pPr>
        <w:pStyle w:val="Heading1"/>
        <w:keepNext/>
      </w:pPr>
      <w:r>
        <w:rPr>
          <w:rFonts w:ascii="Microsoft YaHei" w:hAnsi="Microsoft YaHei" w:eastAsia="Microsoft YaHei"/>
          <w:b/>
          <w:color w:val="17264C"/>
          <w:sz w:val="34"/>
        </w:rPr>
        <w:t>投资委员会初筛评分卡</w:t>
      </w:r>
    </w:p>
    <w:p>
      <w:pPr>
        <w:spacing w:after="140" w:line="307" w:lineRule="auto"/>
        <w:ind w:firstLine="403"/>
      </w:pPr>
      <w:r>
        <w:rPr>
          <w:rFonts w:ascii="Microsoft YaHei" w:hAnsi="Microsoft YaHei" w:eastAsia="Microsoft YaHei"/>
          <w:b w:val="0"/>
          <w:color w:val="292B30"/>
          <w:sz w:val="20"/>
        </w:rPr>
        <w:t>建议项目组在国家/地区初筛后，由业务、财务、法务合规和运营共同评分。权重和阈值是本报告提供的讨论模板，可按企业风险偏好调整；它们不是东道国法定标准，也不能替代尽职调查。每项按1—5分评分，5分代表证据充分且风险可控。</w:t>
      </w:r>
    </w:p>
    <w:tbl>
      <w:tblPr>
        <w:tblStyle w:val="TableGrid"/>
        <w:tblW w:type="auto" w:w="0"/>
        <w:jc w:val="center"/>
        <w:tblLayout w:type="autofit"/>
        <w:tblLook w:firstColumn="1" w:firstRow="1" w:lastColumn="0" w:lastRow="0" w:noHBand="0" w:noVBand="1" w:val="04A0"/>
      </w:tblPr>
      <w:tblGrid>
        <w:gridCol w:w="2498"/>
        <w:gridCol w:w="2498"/>
        <w:gridCol w:w="2498"/>
        <w:gridCol w:w="2498"/>
      </w:tblGrid>
      <w:tr>
        <w:trPr>
          <w:tblHeader w:val="true"/>
        </w:trPr>
        <w:tc>
          <w:tcPr>
            <w:tcW w:type="dxa" w:w="2498"/>
            <w:shd w:fill="17264C"/>
            <w:vAlign w:val="center"/>
            <w:tcMar>
              <w:top w:w="100" w:type="dxa"/>
              <w:start w:w="100" w:type="dxa"/>
              <w:bottom w:w="100" w:type="dxa"/>
              <w:end w:w="100" w:type="dxa"/>
            </w:tcMar>
          </w:tcPr>
          <w:p>
            <w:pPr>
              <w:spacing w:after="0" w:before="0"/>
            </w:pPr>
            <w:r/>
            <w:r>
              <w:rPr>
                <w:rFonts w:ascii="Microsoft YaHei" w:hAnsi="Microsoft YaHei" w:eastAsia="Microsoft YaHei"/>
                <w:b/>
                <w:color w:val="FFFFFF"/>
                <w:sz w:val="18"/>
              </w:rPr>
              <w:t>评分维度</w:t>
            </w:r>
          </w:p>
        </w:tc>
        <w:tc>
          <w:tcPr>
            <w:tcW w:type="dxa" w:w="2498"/>
            <w:shd w:fill="17264C"/>
            <w:vAlign w:val="center"/>
            <w:tcMar>
              <w:top w:w="100" w:type="dxa"/>
              <w:start w:w="100" w:type="dxa"/>
              <w:bottom w:w="100" w:type="dxa"/>
              <w:end w:w="100" w:type="dxa"/>
            </w:tcMar>
          </w:tcPr>
          <w:p>
            <w:pPr>
              <w:spacing w:after="0" w:before="0"/>
            </w:pPr>
            <w:r/>
            <w:r>
              <w:rPr>
                <w:rFonts w:ascii="Microsoft YaHei" w:hAnsi="Microsoft YaHei" w:eastAsia="Microsoft YaHei"/>
                <w:b/>
                <w:color w:val="FFFFFF"/>
                <w:sz w:val="18"/>
              </w:rPr>
              <w:t>权重</w:t>
            </w:r>
          </w:p>
        </w:tc>
        <w:tc>
          <w:tcPr>
            <w:tcW w:type="dxa" w:w="2498"/>
            <w:shd w:fill="17264C"/>
            <w:vAlign w:val="center"/>
            <w:tcMar>
              <w:top w:w="100" w:type="dxa"/>
              <w:start w:w="100" w:type="dxa"/>
              <w:bottom w:w="100" w:type="dxa"/>
              <w:end w:w="100" w:type="dxa"/>
            </w:tcMar>
          </w:tcPr>
          <w:p>
            <w:pPr>
              <w:spacing w:after="0" w:before="0"/>
            </w:pPr>
            <w:r/>
            <w:r>
              <w:rPr>
                <w:rFonts w:ascii="Microsoft YaHei" w:hAnsi="Microsoft YaHei" w:eastAsia="Microsoft YaHei"/>
                <w:b/>
                <w:color w:val="FFFFFF"/>
                <w:sz w:val="18"/>
              </w:rPr>
              <w:t>评分依据</w:t>
            </w:r>
          </w:p>
        </w:tc>
        <w:tc>
          <w:tcPr>
            <w:tcW w:type="dxa" w:w="2498"/>
            <w:shd w:fill="17264C"/>
            <w:vAlign w:val="center"/>
            <w:tcMar>
              <w:top w:w="100" w:type="dxa"/>
              <w:start w:w="100" w:type="dxa"/>
              <w:bottom w:w="100" w:type="dxa"/>
              <w:end w:w="100" w:type="dxa"/>
            </w:tcMar>
          </w:tcPr>
          <w:p>
            <w:pPr>
              <w:spacing w:after="0" w:before="0"/>
            </w:pPr>
            <w:r/>
            <w:r>
              <w:rPr>
                <w:rFonts w:ascii="Microsoft YaHei" w:hAnsi="Microsoft YaHei" w:eastAsia="Microsoft YaHei"/>
                <w:b/>
                <w:color w:val="FFFFFF"/>
                <w:sz w:val="18"/>
              </w:rPr>
              <w:t>项目评分（1—5）</w:t>
            </w:r>
          </w:p>
        </w:tc>
      </w:tr>
      <w:tr>
        <w:tc>
          <w:tcPr>
            <w:tcW w:type="dxa" w:w="249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客户需求与商业验证</w:t>
            </w:r>
          </w:p>
        </w:tc>
        <w:tc>
          <w:tcPr>
            <w:tcW w:type="dxa" w:w="249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20%</w:t>
            </w:r>
          </w:p>
        </w:tc>
        <w:tc>
          <w:tcPr>
            <w:tcW w:type="dxa" w:w="249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订单/试点、渠道、客户集中度和续约/复购</w:t>
            </w:r>
          </w:p>
        </w:tc>
        <w:tc>
          <w:tcPr>
            <w:tcW w:type="dxa" w:w="249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____</w:t>
            </w:r>
          </w:p>
        </w:tc>
      </w:tr>
      <w:tr>
        <w:tc>
          <w:tcPr>
            <w:tcW w:type="dxa" w:w="2498"/>
            <w:shd w:fill="F3F5F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单位经济性与现金流</w:t>
            </w:r>
          </w:p>
        </w:tc>
        <w:tc>
          <w:tcPr>
            <w:tcW w:type="dxa" w:w="2498"/>
            <w:shd w:fill="F3F5F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20%</w:t>
            </w:r>
          </w:p>
        </w:tc>
        <w:tc>
          <w:tcPr>
            <w:tcW w:type="dxa" w:w="2498"/>
            <w:shd w:fill="F3F5F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毛利、资本强度、回款、利用率和盈亏平衡</w:t>
            </w:r>
          </w:p>
        </w:tc>
        <w:tc>
          <w:tcPr>
            <w:tcW w:type="dxa" w:w="2498"/>
            <w:shd w:fill="F3F5F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____</w:t>
            </w:r>
          </w:p>
        </w:tc>
      </w:tr>
      <w:tr>
        <w:tc>
          <w:tcPr>
            <w:tcW w:type="dxa" w:w="249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准入许可与技术合规</w:t>
            </w:r>
          </w:p>
        </w:tc>
        <w:tc>
          <w:tcPr>
            <w:tcW w:type="dxa" w:w="249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15%</w:t>
            </w:r>
          </w:p>
        </w:tc>
        <w:tc>
          <w:tcPr>
            <w:tcW w:type="dxa" w:w="249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股权/资本要求、牌照、数据/产品/出口管制</w:t>
            </w:r>
          </w:p>
        </w:tc>
        <w:tc>
          <w:tcPr>
            <w:tcW w:type="dxa" w:w="249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____</w:t>
            </w:r>
          </w:p>
        </w:tc>
      </w:tr>
      <w:tr>
        <w:tc>
          <w:tcPr>
            <w:tcW w:type="dxa" w:w="2498"/>
            <w:shd w:fill="F3F5F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供应链与选址适配</w:t>
            </w:r>
          </w:p>
        </w:tc>
        <w:tc>
          <w:tcPr>
            <w:tcW w:type="dxa" w:w="2498"/>
            <w:shd w:fill="F3F5F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15%</w:t>
            </w:r>
          </w:p>
        </w:tc>
        <w:tc>
          <w:tcPr>
            <w:tcW w:type="dxa" w:w="2498"/>
            <w:shd w:fill="F3F5F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关键投入、园区资格、能源/物流和替代来源</w:t>
            </w:r>
          </w:p>
        </w:tc>
        <w:tc>
          <w:tcPr>
            <w:tcW w:type="dxa" w:w="2498"/>
            <w:shd w:fill="F3F5F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____</w:t>
            </w:r>
          </w:p>
        </w:tc>
      </w:tr>
      <w:tr>
        <w:tc>
          <w:tcPr>
            <w:tcW w:type="dxa" w:w="249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资本效率与分期能力</w:t>
            </w:r>
          </w:p>
        </w:tc>
        <w:tc>
          <w:tcPr>
            <w:tcW w:type="dxa" w:w="249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15%</w:t>
            </w:r>
          </w:p>
        </w:tc>
        <w:tc>
          <w:tcPr>
            <w:tcW w:type="dxa" w:w="249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阶段性投入、超支控制、融资与政策依赖</w:t>
            </w:r>
          </w:p>
        </w:tc>
        <w:tc>
          <w:tcPr>
            <w:tcW w:type="dxa" w:w="249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____</w:t>
            </w:r>
          </w:p>
        </w:tc>
      </w:tr>
      <w:tr>
        <w:tc>
          <w:tcPr>
            <w:tcW w:type="dxa" w:w="2498"/>
            <w:shd w:fill="F3F5F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环境社会、治理与退出</w:t>
            </w:r>
          </w:p>
        </w:tc>
        <w:tc>
          <w:tcPr>
            <w:tcW w:type="dxa" w:w="2498"/>
            <w:shd w:fill="F3F5F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15%</w:t>
            </w:r>
          </w:p>
        </w:tc>
        <w:tc>
          <w:tcPr>
            <w:tcW w:type="dxa" w:w="2498"/>
            <w:shd w:fill="F3F5F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劳工/环境、合资安排、审计证据及退出路径</w:t>
            </w:r>
          </w:p>
        </w:tc>
        <w:tc>
          <w:tcPr>
            <w:tcW w:type="dxa" w:w="2498"/>
            <w:shd w:fill="F3F5F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____</w:t>
            </w:r>
          </w:p>
        </w:tc>
      </w:tr>
    </w:tbl>
    <w:p>
      <w:pPr>
        <w:spacing w:after="140" w:line="307" w:lineRule="auto"/>
        <w:ind w:firstLine="403"/>
      </w:pPr>
      <w:r>
        <w:rPr>
          <w:rFonts w:ascii="Microsoft YaHei" w:hAnsi="Microsoft YaHei" w:eastAsia="Microsoft YaHei"/>
          <w:b w:val="0"/>
          <w:color w:val="292B30"/>
          <w:sz w:val="20"/>
        </w:rPr>
        <w:t>计算建议：加权得分＝Σ（单项评分×权重）÷5。可将低于60分设为暂缓，60—75分进入补充尽调，高于75分提交正式立项审议；若外资准入、关键许可、土地权属或资金来源存在未解决的否决性问题，不因总分较高而跳过先决条件。</w:t>
      </w:r>
    </w:p>
    <w:tbl>
      <w:tblPr>
        <w:tblW w:type="auto" w:w="0"/>
        <w:jc w:val="center"/>
        <w:tblLook w:firstColumn="1" w:firstRow="1" w:lastColumn="0" w:lastRow="0" w:noHBand="0" w:noVBand="1" w:val="04A0"/>
      </w:tblPr>
      <w:tblGrid>
        <w:gridCol w:w="9994"/>
      </w:tblGrid>
      <w:tr>
        <w:tc>
          <w:tcPr>
            <w:tcW w:type="dxa" w:w="9994"/>
            <w:shd w:fill="F3F5F8"/>
            <w:tcMar>
              <w:top w:w="160" w:type="dxa"/>
              <w:start w:w="200" w:type="dxa"/>
              <w:bottom w:w="160" w:type="dxa"/>
              <w:end w:w="200" w:type="dxa"/>
            </w:tcMar>
          </w:tcPr>
          <w:p>
            <w:pPr>
              <w:spacing w:after="60"/>
            </w:pPr>
            <w:r/>
            <w:r>
              <w:rPr>
                <w:rFonts w:ascii="Microsoft YaHei" w:hAnsi="Microsoft YaHei" w:eastAsia="Microsoft YaHei"/>
                <w:b/>
                <w:color w:val="E9562B"/>
                <w:sz w:val="18"/>
              </w:rPr>
              <w:t>投资决策使用提示</w:t>
            </w:r>
          </w:p>
          <w:p>
            <w:pPr>
              <w:spacing w:after="0" w:line="288" w:lineRule="auto"/>
            </w:pPr>
            <w:r>
              <w:rPr>
                <w:rFonts w:ascii="Microsoft YaHei" w:hAnsi="Microsoft YaHei" w:eastAsia="Microsoft YaHei"/>
                <w:b w:val="0"/>
                <w:color w:val="292B30"/>
                <w:sz w:val="20"/>
              </w:rPr>
              <w:t>本报告用于形成市场初筛和尽调议题清单，不构成法律、税务、审计或投资建议。涉及持股比例、最低资本、实缴期限、园区激励和行业许可的具体项目，应以投资地主管机关最新正式规则及书面批准为准。</w:t>
            </w:r>
          </w:p>
        </w:tc>
      </w:tr>
    </w:tbl>
    <w:sectPr w:rsidR="00FC693F" w:rsidRPr="0006063C" w:rsidSect="00034616">
      <w:headerReference w:type="default" r:id="rId9"/>
      <w:footerReference w:type="default" r:id="rId10"/>
      <w:pgSz w:w="12240" w:h="15840"/>
      <w:pgMar w:top="1037" w:right="1123" w:bottom="1037" w:left="1123" w:header="432" w:footer="461"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jc w:val="center"/>
    </w:pPr>
    <w:r>
      <w:rPr>
        <w:rFonts w:ascii="Microsoft YaHei" w:hAnsi="Microsoft YaHei" w:eastAsia="Microsoft YaHei"/>
        <w:b w:val="0"/>
        <w:color w:val="69717E"/>
        <w:sz w:val="16"/>
      </w:rPr>
      <w:t xml:space="preserve">上海乾桥禾融企业咨询有限公司  ·  2026年10月22日  ·  </w:t>
    </w:r>
    <w:r>
      <w:rPr>
        <w:rFonts w:ascii="Microsoft YaHei" w:hAnsi="Microsoft YaHei" w:eastAsia="Microsoft YaHei"/>
        <w:b w:val="0"/>
        <w:color w:val="69717E"/>
        <w:sz w:val="16"/>
      </w:rP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right"/>
    </w:pPr>
    <w:r>
      <w:rPr>
        <w:rFonts w:ascii="Microsoft YaHei" w:hAnsi="Microsoft YaHei" w:eastAsia="Microsoft YaHei"/>
        <w:b/>
        <w:color w:val="17264C"/>
        <w:sz w:val="16"/>
      </w:rPr>
      <w:t>乾桥禾融  |  企业出海研究系列</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Microsoft YaHei" w:hAnsi="Microsoft YaHei" w:eastAsia="Microsoft YaHei"/>
      <w:color w:val="292B3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00"/>
      <w:outlineLvl w:val="0"/>
    </w:pPr>
    <w:rPr>
      <w:rFonts w:asciiTheme="majorHAnsi" w:eastAsiaTheme="majorEastAsia" w:hAnsiTheme="majorHAnsi" w:cstheme="majorBidi" w:ascii="Microsoft YaHei" w:hAnsi="Microsoft YaHei" w:eastAsia="Microsoft YaHei"/>
      <w:b/>
      <w:bCs/>
      <w:color w:val="17264C"/>
      <w:sz w:val="34"/>
      <w:szCs w:val="28"/>
    </w:rPr>
  </w:style>
  <w:style w:type="paragraph" w:styleId="Heading2">
    <w:name w:val="heading 2"/>
    <w:basedOn w:val="Normal"/>
    <w:next w:val="Normal"/>
    <w:link w:val="Heading2Char"/>
    <w:uiPriority w:val="9"/>
    <w:unhideWhenUsed/>
    <w:qFormat/>
    <w:rsid w:val="00FC693F"/>
    <w:pPr>
      <w:keepNext/>
      <w:keepLines/>
      <w:spacing w:before="160" w:after="100"/>
      <w:outlineLvl w:val="1"/>
    </w:pPr>
    <w:rPr>
      <w:rFonts w:asciiTheme="majorHAnsi" w:eastAsiaTheme="majorEastAsia" w:hAnsiTheme="majorHAnsi" w:cstheme="majorBidi" w:ascii="Microsoft YaHei" w:hAnsi="Microsoft YaHei" w:eastAsia="Microsoft YaHei"/>
      <w:b/>
      <w:bCs/>
      <w:color w:val="A86B4F"/>
      <w:sz w:val="24"/>
      <w:szCs w:val="26"/>
    </w:rPr>
  </w:style>
  <w:style w:type="paragraph" w:styleId="Heading3">
    <w:name w:val="heading 3"/>
    <w:basedOn w:val="Normal"/>
    <w:next w:val="Normal"/>
    <w:link w:val="Heading3Char"/>
    <w:uiPriority w:val="9"/>
    <w:unhideWhenUsed/>
    <w:qFormat/>
    <w:rsid w:val="00FC693F"/>
    <w:pPr>
      <w:keepNext/>
      <w:keepLines/>
      <w:spacing w:before="160" w:after="100"/>
      <w:outlineLvl w:val="2"/>
    </w:pPr>
    <w:rPr>
      <w:rFonts w:asciiTheme="majorHAnsi" w:eastAsiaTheme="majorEastAsia" w:hAnsiTheme="majorHAnsi" w:cstheme="majorBidi" w:ascii="Microsoft YaHei" w:hAnsi="Microsoft YaHei" w:eastAsia="Microsoft YaHei"/>
      <w:b/>
      <w:bCs/>
      <w:color w:val="E9562B"/>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hyperlink" Target="https://www.stats.gov.cn/sj/zxfb/202602/t20260228_1962662.html" TargetMode="External"/><Relationship Id="rId13" Type="http://schemas.openxmlformats.org/officeDocument/2006/relationships/hyperlink" Target="https://www.mofcom.gov.cn/zfxxgk/gkml/art/2026/art_5135ff712b8f4bdc804374d2d29ff9f0.html" TargetMode="External"/><Relationship Id="rId14" Type="http://schemas.openxmlformats.org/officeDocument/2006/relationships/hyperlink" Target="https://www.ey.com/zh_cn/newsroom/2026/02/ey-releases-the-overview-of-china-outbound-investment-of-2025" TargetMode="External"/><Relationship Id="rId15" Type="http://schemas.openxmlformats.org/officeDocument/2006/relationships/hyperlink" Target="https://www.ey.com/content/dam/ey-unified-site/ey-com/zh-cn/insights/china-overseas-investment-network/documents/ey-overview-of-2025-china-outbound-investment-zh.pdf" TargetMode="External"/><Relationship Id="rId16" Type="http://schemas.openxmlformats.org/officeDocument/2006/relationships/hyperlink" Target="https://www.catl.com/news/8584.html" TargetMode="External"/><Relationship Id="rId17" Type="http://schemas.openxmlformats.org/officeDocument/2006/relationships/hyperlink" Target="https://rhg.com/research/chinas-global-investment-grew-in-2025-but-exports-outpaced-offshoring/" TargetMode="External"/><Relationship Id="rId18" Type="http://schemas.openxmlformats.org/officeDocument/2006/relationships/hyperlink" Target="https://www.mofcom.gov.cn/zfxxgk/fdzdgknr/ztfl/tjsj/gwjjhztj/art/2026/art_708927a77336454da43ef9b9af84e06f.html" TargetMode="External"/><Relationship Id="rId19" Type="http://schemas.openxmlformats.org/officeDocument/2006/relationships/hyperlink" Target="https://fec.mofcom.gov.cn/article/zyfw/hybg/qtbg/202602/3959.html" TargetMode="External"/><Relationship Id="rId20" Type="http://schemas.openxmlformats.org/officeDocument/2006/relationships/hyperlink" Target="https://www.iea.org/reports/world-energy-investment-2025/executive-summary" TargetMode="External"/><Relationship Id="rId21" Type="http://schemas.openxmlformats.org/officeDocument/2006/relationships/hyperlink" Target="https://www.gov.kz/memleket/entities/mfa/press/news/details/940892?lang=en" TargetMode="External"/><Relationship Id="rId22" Type="http://schemas.openxmlformats.org/officeDocument/2006/relationships/hyperlink" Target="https://www.vic.gov.au/sites/default/files/2025-09/Victorias-China-Strategy-For-a-New-Golden-Era.pdf" TargetMode="External"/><Relationship Id="rId23" Type="http://schemas.openxmlformats.org/officeDocument/2006/relationships/hyperlink" Target="https://jdih-storage.bkpm.go.id/jdih/jdih/2025Permeninvest005Eng-.pdf" TargetMode="External"/><Relationship Id="rId24" Type="http://schemas.openxmlformats.org/officeDocument/2006/relationships/hyperlink" Target="https://www.boi.go.th/index.php?page=setting_up_a_business" TargetMode="External"/><Relationship Id="rId25" Type="http://schemas.openxmlformats.org/officeDocument/2006/relationships/hyperlink" Target="https://www.gov.br/suframa/pt-br/assuntos/invest-eng/zfm" TargetMode="External"/><Relationship Id="rId26" Type="http://schemas.openxmlformats.org/officeDocument/2006/relationships/hyperlink" Target="https://policy.trade.ec.europa.eu/enforcement-and-protection/investment-screening_en" TargetMode="External"/><Relationship Id="rId27" Type="http://schemas.openxmlformats.org/officeDocument/2006/relationships/hyperlink" Target="https://www.mofcom.gov.cn/cms_files/filemanager/1077459795/attach/20255/b62b8a78eadd4f92898d27286fd5209b.pdf?fileName=2024%E5%B9%B4%E4%B8%AD%E5%9B%BD%E5%AF%B9%E5%A4%96%E7%9B%B4%E6%8E%A5%E6%8A%95%E8%B5%84%E7%BB%9F%E8%AE%A1%E5%85%AC%E6%8A%A5-%E4%B8%AD%E6%96%87%E9%83%A8%E5%88%86.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中国企业海外新能源与关键矿产投资白皮书</dc:title>
  <dc:subject>中国企业海外直接投资与经营布局</dc:subject>
  <dc:creator>上海乾桥禾融企业咨询有限公司</dc:creator>
  <cp:keywords>ODI, 出海, 境外投资, 乾桥禾融</cp:keywords>
  <dc:description>generated by python-docx</dc:description>
  <cp:lastModifiedBy/>
  <cp:revision>1</cp:revision>
  <dcterms:created xsi:type="dcterms:W3CDTF">2013-12-23T23:15:00Z</dcterms:created>
  <dcterms:modified xsi:type="dcterms:W3CDTF">2013-12-23T23:15:00Z</dcterms:modified>
  <cp:category/>
</cp:coreProperties>
</file>