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40" w:after="480"/>
      </w:pPr>
      <w:r>
        <w:drawing>
          <wp:inline xmlns:a="http://schemas.openxmlformats.org/drawingml/2006/main" xmlns:pic="http://schemas.openxmlformats.org/drawingml/2006/picture">
            <wp:extent cx="475488" cy="4754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ianqiao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4754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/>
          <w:b/>
          <w:color w:val="17264C"/>
          <w:sz w:val="18"/>
        </w:rPr>
        <w:t xml:space="preserve">   乾桥禾融研究系列  |  上海乾桥禾融企业咨询有限公司</w:t>
      </w:r>
    </w:p>
    <w:p>
      <w:pPr>
        <w:spacing w:before="80" w:after="160"/>
      </w:pPr>
      <w:r>
        <w:rPr>
          <w:rFonts w:ascii="Microsoft YaHei" w:hAnsi="Microsoft YaHei" w:eastAsia="Microsoft YaHei"/>
          <w:b/>
          <w:color w:val="E9562B"/>
          <w:sz w:val="17"/>
        </w:rPr>
        <w:t>QIANQIAO INSIGHT   /   行业研究   /   2026</w:t>
      </w:r>
    </w:p>
    <w:p>
      <w:pPr>
        <w:keepNext/>
        <w:keepLines/>
        <w:spacing w:before="40" w:after="160" w:line="259" w:lineRule="auto"/>
      </w:pPr>
      <w:r>
        <w:rPr>
          <w:rFonts w:ascii="Microsoft YaHei" w:hAnsi="Microsoft YaHei" w:eastAsia="Microsoft YaHei"/>
          <w:b/>
          <w:color w:val="17264C"/>
          <w:sz w:val="64"/>
        </w:rPr>
        <w:t>中国企业海外制造业与汽车投资白皮书</w:t>
      </w:r>
    </w:p>
    <w:p>
      <w:pPr>
        <w:keepNext/>
        <w:spacing w:after="220"/>
        <w:pBdr>
          <w:bottom w:val="single" w:sz="20" w:space="8" w:color="E9562B"/>
        </w:pBdr>
      </w:pPr>
      <w:r>
        <w:rPr>
          <w:rFonts w:ascii="Microsoft YaHei" w:hAnsi="Microsoft YaHei" w:eastAsia="Microsoft YaHei"/>
          <w:b w:val="0"/>
          <w:color w:val="A86B4F"/>
          <w:sz w:val="28"/>
        </w:rPr>
        <w:t>从产能迁移转向供应链本地化与市场贴近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pPr>
              <w:spacing w:after="10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研究要点</w:t>
            </w:r>
          </w:p>
          <w:p>
            <w:pPr>
              <w:spacing w:after="0" w:line="295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1"/>
              </w:rPr>
              <w:t>制造业仍是企业出海最具实体性的投资形态，但“去哪里建厂”只是问题的一半。中国企业需要同步算清目标市场准入、原产地、供应商本地化、设备与技术输出、能源、劳动生产率和固定成本爬坡。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2011亿元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2025年非金融类制造业 ODI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-4.6%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153.9亿美元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2024年中国对东盟制造业 ODI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占对东盟投资 44.8%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2892亿美元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2025年对外承包工程新签合同额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+8.2%</w:t>
            </w:r>
          </w:p>
        </w:tc>
      </w:tr>
    </w:tbl>
    <w:p>
      <w:pPr>
        <w:spacing w:after="0"/>
      </w:pPr>
    </w:p>
    <w:p>
      <w:pPr>
        <w:spacing w:before="180" w:after="60"/>
      </w:pPr>
      <w:r>
        <w:rPr>
          <w:rFonts w:ascii="Microsoft YaHei" w:hAnsi="Microsoft YaHei" w:eastAsia="Microsoft YaHei"/>
          <w:b w:val="0"/>
          <w:color w:val="69717E"/>
          <w:sz w:val="17"/>
        </w:rPr>
        <w:t>研究对象  /  中国企业境外直接投资及相关产业项目</w:t>
      </w:r>
    </w:p>
    <w:p>
      <w:r>
        <w:rPr>
          <w:rFonts w:ascii="Microsoft YaHei" w:hAnsi="Microsoft YaHei" w:eastAsia="Microsoft YaHei"/>
          <w:b w:val="0"/>
          <w:color w:val="69717E"/>
          <w:sz w:val="17"/>
        </w:rPr>
        <w:t>数据截点：截至 2026年10月22日 可查的公开资料；2025 年年度 ODI 采用三部门统计公报最终口径，较早发布的初步统计单独标注。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17264C"/>
          <w:sz w:val="34"/>
        </w:rPr>
        <w:t>一  核心判断与投资脉络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2025年非金融 ODI 中制造业金额为2011亿元人民币，同比下降4.6%；这是非金融类人民币统计的行业数据，与全行业美元总额和并购交易金额不同。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2024年对东盟 ODI 的行业构成中，制造业为153.9亿美元、占该区域投资44.8%，同比增长68.2%；该数值不是中国全球制造业 ODI 总额。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BYD匈牙利工厂供应链合作、CATL印尼全链项目说明，供应商进入、本地采购、用工和研发合作正成为项目落地关键。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阅读提示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本报告把官方 ODI 流量、并购公告、项目投资承诺和企业调查分开使用；公告计划额不等于已投入资本，东道国接收全球 FDI 也不等于中国来源 ODI。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二  规模、结构与数据口径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2025年国家统计局披露非金融类对外直接投资10404亿元人民币，其中制造业2011亿元，同比下降4.6%。2024年官方公报披露，对东盟投资行业构成中制造业153.9亿美元、占对东盟投资流量44.8%，同比增长68.2%；该分项是东盟区域数据，不代表中国全球制造业 ODI 总额。两个年份之间也不应用于直接计算同比。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商务部2025年对外非金融制造业投资2011亿元人民币，占非金融ODI 19.3%，同比下降4.6%；应与2024年公告项目及海外并购分开观察。IEA统计2025年全球电动车销量约2100万辆、同比增长20%，占新车销量约四分之一。全球市场容量并不能直接代表特定海外产线的可实现订单。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2025年非金融类行业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流量（亿元人民币）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租赁和商务服务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2719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-5.6%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批发和零售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2555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+27.3%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制造业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-4.6%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交通运输仓储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709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+34.8%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采矿业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801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-10.3%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信息软件服务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369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-11.1%</w:t>
            </w:r>
          </w:p>
        </w:tc>
      </w:tr>
    </w:tbl>
    <w:p>
      <w:pPr>
        <w:spacing w:before="60"/>
      </w:pPr>
      <w:r>
        <w:rPr>
          <w:rFonts w:ascii="Microsoft YaHei" w:hAnsi="Microsoft YaHei" w:eastAsia="Microsoft YaHei"/>
          <w:b w:val="0"/>
          <w:color w:val="69717E"/>
          <w:sz w:val="16"/>
        </w:rPr>
        <w:t>图表口径：国家统计局发布的非金融类对外直接投资行业分布。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三  市场机会与进入方式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汽车与零部件：东盟、欧洲、中东和墨西哥等地项目关注整车认证、供应商本地化、经销渠道、售后和原产地政策。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工业设备与电子：海外生产有助于客户交付和供应链韧性，但出口管制、技术转移、软件授权、知识产权和关键材料来源需纳入设计。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园区与厂房：租赁与自建的现金流差异之外，应核对地契期限、建设许可、消防、环保、排污、能源接入和厂房复用能力。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分阶段扩产可以降低需求不确定性，但要把一期商业化条件、客户订单、产线导入与后续资本承诺写入治理机制。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重点市场准入与选址政策对照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行业市场对照用于建立初筛清单。法定资本、最低实缴、外资股比和激励资格以项目主体、具体活动和最新官方规则为准；公司注册资本不等于投资促进项目的最低投资额。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代表市场（不超过10个）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准入、资本或选址政策关注点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墨西哥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IMMEX支持合格出口制造暂时进口；USMCA原产地与2026联合审查增加贸易政策不确定性。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泰国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BOI/EEC为汽车、电池、电子等项目提供按活动分类的优惠；FBA限制业务须获批。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马来西亚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新制造项目可100%外资持股；JS-SEZ专项优惠只适用于指定旗舰区和合格行业/投资。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匈牙利/波兰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电池和汽车项目可评估投资促进/投资区支持；欧盟外资审查及国家援助规则并行。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巴西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汽车本地化受税制、进口安排与州级激励影响；玛瑙斯优惠仅适用于符合其区域与项目条件的活动。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四  代表性项目观察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BYD在匈牙利布局欧洲总部和研发中心，且已披露本地钢材供应安排，体现工厂投资与研发、供应链同步推进。CATL印尼项目以资源、材料、制造和回收串联起来。二者规模、行业与监管路径不同，但都说明投资可行性不仅取决于建厂成本，也取决于当地客户、供应商、许可与组织能力。</w:t>
      </w:r>
    </w:p>
    <w:p>
      <w:pPr>
        <w:pStyle w:val="Heading2"/>
        <w:keepNext/>
      </w:pPr>
      <w:r>
        <w:rPr>
          <w:rFonts w:ascii="Microsoft YaHei" w:hAnsi="Microsoft YaHei" w:eastAsia="Microsoft YaHei"/>
          <w:b/>
          <w:color w:val="A86B4F"/>
          <w:sz w:val="24"/>
        </w:rPr>
        <w:t>代表项目观察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以下项目区分股权投资、建设投资、许可合作与项目规划。金额均按企业或政府公开披露口径记录；未披露的明确标记，规划额不代表已投金额。项目状态以来源公布日期为准，重大交易需再核验最新进展。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项目与所在地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投资方与产业环节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公开金额与项目阶段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可核验的投资观察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美国肯塔基州｜GE Appliances洗衣机工厂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海尔集团旗下GE Appliances；家电制造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US$490m；新增约800个工作岗位；计划2027年投产。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工厂为在美既有业务新增产线，应区分存量资产与新增长期资本。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匈牙利德布勒森｜CATL动力电池工厂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宁德时代；动力电池制造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总规划€7.34bn、100GWh；公司披露一期/二期合计72GWh阶段约€4.9bn。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跟踪阶段投资与规划总额，检查能源水、环保、客户定点与爬坡。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泰国罗勇｜BYD新能源汽车工厂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比亚迪；整车制造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2024年投产；约15万辆/年初期产能，投资公开报道约THB17.9bn。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以本地销量、供应商认证、实际产量和东盟原产地评估项目效益。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五  重点合规与执行风险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中国 ODI：投资主体、投资方向、交易结构、金额与资金来源的申报材料应互相匹配；项目重大变化需进行变更合规判断。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市场准入与贸易：产品认证、强制标准、反倾销/反补贴、原产地、进口许可和当地采购比例可能影响商业模型。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工程建设：土地、规划、消防、环境许可、危废管理、工人健康安全和社区沟通应在开工条件中设为闸门。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集团治理：海外工厂常出现母公司垫款、设备出口、关联采购和内部借款，需预先设置定价依据、合同、凭证及外汇路径。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六  投资启示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把目标市场拆为销售验证、合规准入、试点运营和规模化投资四个阶段，先验证需求与单位经济性，再承诺固定资产和长期租赁。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对股权限制、许可、最低资本/实缴、园区资格、补贴期限与追回条件建立先决条件清单；将政策优惠按“已批准/可申请/尚未确认”分层计入模型。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对供应商、本地化、原产地、数据/技术、能源和人才设定投资闸门与备选方案，并将汇率、税务、融资与退出情景纳入敏感性分析。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在境内 ODI 审批、境外架构、资金路径、公司设立开户、关联交易及持续审计之间建立一致的项目治理和证据链。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行业专题  产能布局与供应链模型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制造投资的价值来自客户响应、关税/原产地、供应链弹性和总交付成本，而非单纯工资或土地价格。将成品进口、本地组装、完整制造、合同制造和并购既有工厂进行同口径比较，拆分设备、厂房、模具、认证、物流、库存、供应商开发、质量体系、售后与召回成本。汽车项目另需按车型生命周期和本地销量测算产线利用率与经销/维修网络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电池、半导体和汽车供应链会受到本地化、补贴来源、关键材料溯源、出口管制、产品安全和数据软件规则影响。签订设备和供应商合同前，确认技术转让许可、软件/固件权利、质量担保、停产备件、知识产权、原产地凭证和供应中断替代方案。园区激励必须与目标产品和生产工艺匹配，不能仅凭行业名称推断符合资格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投委会指标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建议在立项/投后持续观察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需求与现金流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客户合同/订单覆盖、回款周期、单位经济性与下行情景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资本与进度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预算偏差、许可/建设里程碑、实际出资与产能爬坡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合规与韧性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准入许可、供应链/原产地、环境社会和退出触发条件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行业专题  投资分期与投后运营指标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推荐将项目划分为可行性/客户确认、一期试产、稳定运营、后续扩产四阶段。每阶段设置订单覆盖率、工艺良率、客户认证、关键供应商、本地招聘、现金储备、单位成本和许可条件。对重大产线投资设置最低利用率与毛利门槛，达不到时暂停下一期资本支出。把厂房租赁与自建比较到完整使用期限，并计入退出和设备搬迁成本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投产后每日关注安全、质量、良率和停机；每月关注单位制造成本、订单/产能覆盖、库存、供应商准交率、人员流失、能源和汇率；每季度复核补贴承诺、原产地、关联交易、折旧资本化、环保与劳工合规。海外工厂需建立与集团 ERP、成本中心、库存盘点和审计底稿相容的制度，保证订单、设备进口、工程款和资本金记录可追溯。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投委会指标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建议在立项/投后持续观察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需求与现金流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客户合同/订单覆盖、回款周期、单位经济性与下行情景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资本与进度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预算偏差、许可/建设里程碑、实际出资与产能爬坡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合规与韧性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准入许可、供应链/原产地、环境社会和退出触发条件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行业投资额、占比与市场容量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下表中的中国对外投资行业金额来自商务部2025年非金融类行业统计，分母为10404.2亿元人民币；金融业按全行业ODI统计另列。占比由公开金额计算，受四舍五入影响。全球市场指标用于衡量需求或资本环境，不等同于中资可投资市场、企业收入或目标公司的估值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999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规模或趋势指标</w:t>
            </w:r>
          </w:p>
        </w:tc>
        <w:tc>
          <w:tcPr>
            <w:tcW w:type="dxa" w:w="1999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2025/最新值</w:t>
            </w:r>
          </w:p>
        </w:tc>
        <w:tc>
          <w:tcPr>
            <w:tcW w:type="dxa" w:w="1999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占比/范围</w:t>
            </w:r>
          </w:p>
        </w:tc>
        <w:tc>
          <w:tcPr>
            <w:tcW w:type="dxa" w:w="1999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同比或趋势</w:t>
            </w:r>
          </w:p>
        </w:tc>
        <w:tc>
          <w:tcPr>
            <w:tcW w:type="dxa" w:w="1999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数据解释</w:t>
            </w:r>
          </w:p>
        </w:tc>
      </w:tr>
      <w:tr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非金融制造业ODI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2011亿元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19.3%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-4.6%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2025官方行业流量</w:t>
            </w:r>
          </w:p>
        </w:tc>
      </w:tr>
      <w:tr>
        <w:tc>
          <w:tcPr>
            <w:tcW w:type="dxa" w:w="1999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全球电动车销量</w:t>
            </w:r>
          </w:p>
        </w:tc>
        <w:tc>
          <w:tcPr>
            <w:tcW w:type="dxa" w:w="1999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2100万辆</w:t>
            </w:r>
          </w:p>
        </w:tc>
        <w:tc>
          <w:tcPr>
            <w:tcW w:type="dxa" w:w="1999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约占新车销量25%</w:t>
            </w:r>
          </w:p>
        </w:tc>
        <w:tc>
          <w:tcPr>
            <w:tcW w:type="dxa" w:w="1999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+20%</w:t>
            </w:r>
          </w:p>
        </w:tc>
        <w:tc>
          <w:tcPr>
            <w:tcW w:type="dxa" w:w="1999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IEA统计，2025实际销量</w:t>
            </w:r>
          </w:p>
        </w:tc>
      </w:tr>
      <w:tr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汽车制造投资信号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产能本地化、供应商、售后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需按国家/车型建模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受关税和补贴变化影响</w:t>
            </w:r>
          </w:p>
        </w:tc>
        <w:tc>
          <w:tcPr>
            <w:tcW w:type="dxa" w:w="1999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项目公告与实际产量分列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投资判断应将“行业景气”拆成可转化为项目现金流的条件：产品获客、订单覆盖、资本强度、许可周期、产能利用率、价格/单位收入及退出机制。高增速小基数、跨行业统计和并购公告会产生显著偏差，模型应至少设置基准、下行和延迟三个情景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七  建议的 90 天工作顺序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1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0—30天：目标市场、客户与原产地假设测算，完成国家/园区初筛和境内 ODI 路径。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2 阶段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30—60天：可行性研究、设备/人员输出审查、土地和许可证清单、当地供应链与税务评估。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3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60—90天：设立及开户、合同和授权落地，准备投产前的会计科目、库存控制、工资和合规日历。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研究说明与资料来源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统计口径说明：全行业 ODI 与非金融类 ODI 不能直接互换；人民币和美元同比受汇率及统计修订影响；并购公告金额可能含未交割交易；不同机构数据库对交易对象、宣布时间、完成状态和目的地归属采用不同规则。本报告在相关指标处注明口径，重大投资或法规决策应基于项目事实重新核验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附录  中国对外直接投资长期流量序列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为观察长期趋势，本表采用商务部统计公报发布的2006—2024年年度序列，并补入2025年最终公报数据。单位为亿美元。2006年以前的早期数据统计范围与全行业 ODI 不完全一致，故不与本序列拼接。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211.6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1,961.5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265.1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1,582.9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559.1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1,430.4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565.3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1,369.1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688.1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1,537.1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746.5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1,788.2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878.0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1,631.2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1,078.4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1,772.9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1,231.2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1,922.0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1,456.7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2,135.8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趋势解读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2025年为最终统计公报发布值，2135.8亿美元；它比2024年最终公布值1922.0亿美元高11.1%。不同年度公报可能修订历史分项，跨年分析应以同一版本序列为基础。</w:t>
            </w:r>
          </w:p>
        </w:tc>
      </w:tr>
    </w:tbl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[1] 国家统计局《中华人民共和国2025年国民经济和社会发展统计公报》  </w:t>
      </w:r>
      <w:hyperlink r:id="rId1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[2] 商务部等《2025年度中国对外直接投资统计公报》  </w:t>
      </w:r>
      <w:hyperlink r:id="rId1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[3] 商务部等《2024年度中国对外直接投资统计公报》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[4] EY《2025年中国海外投资概览》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[5] 宁德时代：印尼电池产业链项目正式动工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[6] BYD：匈牙利工厂本地供应链合作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[7] 商务部《2025年我国对外非金融类直接投资简明统计》  </w:t>
      </w:r>
      <w:hyperlink r:id="rId1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[8] 商务部《2025年对外非金融类直接投资行业统计表》  </w:t>
      </w:r>
      <w:hyperlink r:id="rId19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[9] EY《2025年中国海外投资概览》及地区并购数据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[10] 国际能源署《Global EV Outlook 2026》  </w:t>
      </w:r>
      <w:hyperlink r:id="rId20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[11] CATL：匈牙利德布勒森电池工厂项目及投资计划  </w:t>
      </w:r>
      <w:hyperlink r:id="rId21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[12] 海尔集团：GE Appliances肯塔基州4.9亿美元洗衣机工厂投资  </w:t>
      </w:r>
      <w:hyperlink r:id="rId2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[13] BYD：泰国罗勇工厂投产及第800万辆新能源车下线  </w:t>
      </w:r>
      <w:hyperlink r:id="rId2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[14] 墨西哥经济部 IMMEX 出口制造计划  </w:t>
      </w:r>
      <w:hyperlink r:id="rId2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[15] 泰国投资促进委员会：外资企业设立、最低资本及优惠  </w:t>
      </w:r>
      <w:hyperlink r:id="rId2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[16] 马来西亚投资发展局：制造业股权政策  </w:t>
      </w:r>
      <w:hyperlink r:id="rId2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[17] 马来西亚投资发展局：柔新经济特区税务优惠及申请条件  </w:t>
      </w:r>
      <w:hyperlink r:id="rId2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[18] 波兰投资贸易局：波兰投资区优惠  </w:t>
      </w:r>
      <w:hyperlink r:id="rId2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[19] 商务部等《2024年度中国对外直接投资统计公报》历史流量图表  </w:t>
      </w:r>
      <w:hyperlink r:id="rId29">
        <w:r>
          <w:rPr>
            <w:color w:val="E9562B"/>
            <w:u w:val="single"/>
          </w:rPr>
          <w:t>查看原文</w:t>
        </w:r>
      </w:hyperlink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投资委员会初筛评分卡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建议项目组在国家/地区初筛后，由业务、财务、法务合规和运营共同评分。权重和阈值是本报告提供的讨论模板，可按企业风险偏好调整；它们不是东道国法定标准，也不能替代尽职调查。每项按1—5分评分，5分代表证据充分且风险可控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评分维度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权重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评分依据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项目评分（1—5）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客户需求与商业验证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订单/试点、渠道、客户集中度和续约/复购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单位经济性与现金流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毛利、资本强度、回款、利用率和盈亏平衡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准入许可与技术合规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股权/资本要求、牌照、数据/产品/出口管制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供应链与选址适配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关键投入、园区资格、能源/物流和替代来源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资本效率与分期能力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阶段性投入、超支控制、融资与政策依赖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环境社会、治理与退出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劳工/环境、合资安排、审计证据及退出路径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计算建议：加权得分＝Σ（单项评分×权重）÷5。可将低于60分设为暂缓，60—75分进入补充尽调，高于75分提交正式立项审议；若外资准入、关键许可、土地权属或资金来源存在未解决的否决性问题，不因总分较高而跳过先决条件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投资决策使用提示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本报告用于形成市场初筛和尽调议题清单，不构成法律、税务、审计或投资建议。涉及持股比例、最低资本、实缴期限、园区激励和行业许可的具体项目，应以投资地主管机关最新正式规则及书面批准为准。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Microsoft YaHei" w:hAnsi="Microsoft YaHei" w:eastAsia="Microsoft YaHei"/>
        <w:b w:val="0"/>
        <w:color w:val="69717E"/>
        <w:sz w:val="16"/>
      </w:rPr>
      <w:t xml:space="preserve">上海乾桥禾融企业咨询有限公司  ·  2026年10月22日  ·  </w:t>
    </w:r>
    <w:r>
      <w:rPr>
        <w:rFonts w:ascii="Microsoft YaHei" w:hAnsi="Microsoft YaHei" w:eastAsia="Microsoft YaHei"/>
        <w:b w:val="0"/>
        <w:color w:val="69717E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Microsoft YaHei" w:hAnsi="Microsoft YaHei" w:eastAsia="Microsoft YaHei"/>
        <w:b/>
        <w:color w:val="17264C"/>
        <w:sz w:val="16"/>
      </w:rPr>
      <w:t>乾桥禾融  |  企业出海研究系列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icrosoft YaHei" w:hAnsi="Microsoft YaHei" w:eastAsia="Microsoft YaHei"/>
      <w:color w:val="292B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264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A86B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E9562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stats.gov.cn/sj/zxfb/202602/t20260228_1962662.html" TargetMode="External"/><Relationship Id="rId13" Type="http://schemas.openxmlformats.org/officeDocument/2006/relationships/hyperlink" Target="https://www.mofcom.gov.cn/zfxxgk/gkml/art/2026/art_5135ff712b8f4bdc804374d2d29ff9f0.html" TargetMode="External"/><Relationship Id="rId14" Type="http://schemas.openxmlformats.org/officeDocument/2006/relationships/hyperlink" Target="https://www.gov.cn/lianbo/bumen/202509/P020250908508134967854.pdf" TargetMode="External"/><Relationship Id="rId15" Type="http://schemas.openxmlformats.org/officeDocument/2006/relationships/hyperlink" Target="https://www.ey.com/zh_cn/newsroom/2026/02/ey-releases-the-overview-of-china-outbound-investment-of-2025" TargetMode="External"/><Relationship Id="rId16" Type="http://schemas.openxmlformats.org/officeDocument/2006/relationships/hyperlink" Target="https://www.catl.com/news/8584.html" TargetMode="External"/><Relationship Id="rId17" Type="http://schemas.openxmlformats.org/officeDocument/2006/relationships/hyperlink" Target="https://media.byd.com/byd-announces-voestalpine-as-major-supplier-to-its-first-european-car-factory/?lang=eng" TargetMode="External"/><Relationship Id="rId18" Type="http://schemas.openxmlformats.org/officeDocument/2006/relationships/hyperlink" Target="https://www.mofcom.gov.cn/zfxxgk/fdzdgknr/ztfl/tjsj/gwjjhztj/art/2026/art_708927a77336454da43ef9b9af84e06f.html" TargetMode="External"/><Relationship Id="rId19" Type="http://schemas.openxmlformats.org/officeDocument/2006/relationships/hyperlink" Target="https://fec.mofcom.gov.cn/article/zyfw/hybg/qtbg/202602/3959.html" TargetMode="External"/><Relationship Id="rId20" Type="http://schemas.openxmlformats.org/officeDocument/2006/relationships/hyperlink" Target="https://www.iea.org/reports/global-ev-outlook-2026/trends-in-electric-cars" TargetMode="External"/><Relationship Id="rId21" Type="http://schemas.openxmlformats.org/officeDocument/2006/relationships/hyperlink" Target="https://www.catl.com/en/news/983.html?s=31" TargetMode="External"/><Relationship Id="rId22" Type="http://schemas.openxmlformats.org/officeDocument/2006/relationships/hyperlink" Target="https://www.haier.com/global/press-events/news/20250627_266217.shtml" TargetMode="External"/><Relationship Id="rId23" Type="http://schemas.openxmlformats.org/officeDocument/2006/relationships/hyperlink" Target="https://www.byd.com/us/news-list/BYD-Thailand-Factory-Inauguration-and-Roll-off-of-Its-8-Millionth-New-Energy-Vehicle.html" TargetMode="External"/><Relationship Id="rId24" Type="http://schemas.openxmlformats.org/officeDocument/2006/relationships/hyperlink" Target="https://www.gob.mx/se/acciones-y-programas/industria-manufacturera-maquiladora-y-de-servicios-de-exportacion-immex" TargetMode="External"/><Relationship Id="rId25" Type="http://schemas.openxmlformats.org/officeDocument/2006/relationships/hyperlink" Target="https://www.boi.go.th/index.php?page=setting_up_a_business" TargetMode="External"/><Relationship Id="rId26" Type="http://schemas.openxmlformats.org/officeDocument/2006/relationships/hyperlink" Target="https://www.mida.gov.my/setting-up-content/equity-policy-protect-foreign-investment/" TargetMode="External"/><Relationship Id="rId27" Type="http://schemas.openxmlformats.org/officeDocument/2006/relationships/hyperlink" Target="https://www.mida.gov.my/forms-and-guidelines/js-sez-tax-incentive-package/" TargetMode="External"/><Relationship Id="rId28" Type="http://schemas.openxmlformats.org/officeDocument/2006/relationships/hyperlink" Target="https://www.paih.gov.pl/en/why_poland/investment_incentives/polish_investment_zone/" TargetMode="External"/><Relationship Id="rId29" Type="http://schemas.openxmlformats.org/officeDocument/2006/relationships/hyperlink" Target="https://www.mofcom.gov.cn/cms_files/filemanager/1077459795/attach/20255/b62b8a78eadd4f92898d27286fd5209b.pdf?fileName=2024%E5%B9%B4%E4%B8%AD%E5%9B%BD%E5%AF%B9%E5%A4%96%E7%9B%B4%E6%8E%A5%E6%8A%95%E8%B5%84%E7%BB%9F%E8%AE%A1%E5%85%AC%E6%8A%A5-%E4%B8%AD%E6%96%87%E9%83%A8%E5%88%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中国企业海外制造业与汽车投资白皮书</dc:title>
  <dc:subject>中国企业海外直接投资与经营布局</dc:subject>
  <dc:creator>上海乾桥禾融企业咨询有限公司</dc:creator>
  <cp:keywords>ODI, 出海, 境外投资, 乾桥禾融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