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Lines/>
        <w:spacing w:before="40" w:after="480"/>
      </w:pPr>
      <w:r>
        <w:drawing>
          <wp:inline xmlns:a="http://schemas.openxmlformats.org/drawingml/2006/main" xmlns:pic="http://schemas.openxmlformats.org/drawingml/2006/picture">
            <wp:extent cx="475488" cy="47548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ianqiao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488" cy="475488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Microsoft YaHei" w:hAnsi="Microsoft YaHei" w:eastAsia="Microsoft YaHei"/>
          <w:b/>
          <w:color w:val="17264C"/>
          <w:sz w:val="18"/>
        </w:rPr>
        <w:t xml:space="preserve">   乾桥禾融研究系列  |  上海乾桥禾融企业咨询有限公司</w:t>
      </w:r>
    </w:p>
    <w:p>
      <w:pPr>
        <w:spacing w:before="80" w:after="160"/>
      </w:pPr>
      <w:r>
        <w:rPr>
          <w:rFonts w:ascii="Microsoft YaHei" w:hAnsi="Microsoft YaHei" w:eastAsia="Microsoft YaHei"/>
          <w:b/>
          <w:color w:val="E9562B"/>
          <w:sz w:val="17"/>
        </w:rPr>
        <w:t>QIANQIAO INSIGHT   /   地区研究   /   2026</w:t>
      </w:r>
    </w:p>
    <w:p>
      <w:pPr>
        <w:keepNext/>
        <w:keepLines/>
        <w:spacing w:before="40" w:after="160" w:line="259" w:lineRule="auto"/>
      </w:pPr>
      <w:r>
        <w:rPr>
          <w:rFonts w:ascii="Microsoft YaHei" w:hAnsi="Microsoft YaHei" w:eastAsia="Microsoft YaHei"/>
          <w:b/>
          <w:color w:val="17264C"/>
          <w:sz w:val="64"/>
        </w:rPr>
        <w:t>中国企业中东与北非投资白皮书</w:t>
      </w:r>
    </w:p>
    <w:p>
      <w:pPr>
        <w:keepNext/>
        <w:spacing w:after="220"/>
        <w:pBdr>
          <w:bottom w:val="single" w:sz="20" w:space="8" w:color="E9562B"/>
        </w:pBdr>
      </w:pPr>
      <w:r>
        <w:rPr>
          <w:rFonts w:ascii="Microsoft YaHei" w:hAnsi="Microsoft YaHei" w:eastAsia="Microsoft YaHei"/>
          <w:b w:val="0"/>
          <w:color w:val="A86B4F"/>
          <w:sz w:val="28"/>
        </w:rPr>
        <w:t>政策驱动型市场中的伙伴关系、本地化与风险管理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3F5F8"/>
            <w:tcMar>
              <w:top w:w="190" w:type="dxa"/>
              <w:start w:w="220" w:type="dxa"/>
              <w:bottom w:w="190" w:type="dxa"/>
              <w:end w:w="220" w:type="dxa"/>
            </w:tcMar>
          </w:tcPr>
          <w:p>
            <w:pPr>
              <w:spacing w:after="100"/>
            </w:pPr>
            <w:r/>
            <w:r>
              <w:rPr>
                <w:rFonts w:ascii="Microsoft YaHei" w:hAnsi="Microsoft YaHei" w:eastAsia="Microsoft YaHei"/>
                <w:b/>
                <w:color w:val="E9562B"/>
                <w:sz w:val="18"/>
              </w:rPr>
              <w:t>研究要点</w:t>
            </w:r>
          </w:p>
          <w:p>
            <w:pPr>
              <w:spacing w:after="0" w:line="295" w:lineRule="auto"/>
            </w:pPr>
            <w:r>
              <w:rPr>
                <w:rFonts w:ascii="Microsoft YaHei" w:hAnsi="Microsoft YaHei" w:eastAsia="Microsoft YaHei"/>
                <w:b w:val="0"/>
                <w:color w:val="292B30"/>
                <w:sz w:val="21"/>
              </w:rPr>
              <w:t>海湾市场正在把投资机会从能源和工程拓展到制造、数字基础设施、消费和高端服务。项目往往依赖政府关系、国有资本或本地伙伴，必须把牌照、股权、采购、雇佣和实际经营要求纳入项目财务模型。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2995"/>
            <w:shd w:fill="F3F5F8"/>
            <w:tcMar>
              <w:top w:w="180" w:type="dxa"/>
              <w:start w:w="150" w:type="dxa"/>
              <w:bottom w:w="180" w:type="dxa"/>
              <w:end w:w="150" w:type="dxa"/>
            </w:tcMar>
          </w:tcPr>
          <w:p>
            <w:pPr>
              <w:spacing w:after="6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17264C"/>
                <w:sz w:val="30"/>
              </w:rPr>
              <w:t>86%</w:t>
            </w:r>
          </w:p>
          <w:p>
            <w:pPr>
              <w:spacing w:after="40"/>
              <w:jc w:val="center"/>
            </w:pPr>
            <w:r>
              <w:rPr>
                <w:rFonts w:ascii="Microsoft YaHei" w:hAnsi="Microsoft YaHei" w:eastAsia="Microsoft YaHei"/>
                <w:b/>
                <w:color w:val="292B30"/>
                <w:sz w:val="17"/>
              </w:rPr>
              <w:t>PwC受访中国企业计划扩大中东业务</w:t>
            </w:r>
          </w:p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 w:val="0"/>
                <w:color w:val="69717E"/>
                <w:sz w:val="16"/>
              </w:rPr>
              <w:t>调查样本 136 家</w:t>
            </w:r>
          </w:p>
        </w:tc>
        <w:tc>
          <w:tcPr>
            <w:tcW w:type="dxa" w:w="2995"/>
            <w:shd w:fill="F3F5F8"/>
            <w:tcMar>
              <w:top w:w="180" w:type="dxa"/>
              <w:start w:w="150" w:type="dxa"/>
              <w:bottom w:w="180" w:type="dxa"/>
              <w:end w:w="150" w:type="dxa"/>
            </w:tcMar>
          </w:tcPr>
          <w:p>
            <w:pPr>
              <w:spacing w:after="6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17264C"/>
                <w:sz w:val="30"/>
              </w:rPr>
              <w:t>77%</w:t>
            </w:r>
          </w:p>
          <w:p>
            <w:pPr>
              <w:spacing w:after="40"/>
              <w:jc w:val="center"/>
            </w:pPr>
            <w:r>
              <w:rPr>
                <w:rFonts w:ascii="Microsoft YaHei" w:hAnsi="Microsoft YaHei" w:eastAsia="Microsoft YaHei"/>
                <w:b/>
                <w:color w:val="292B30"/>
                <w:sz w:val="17"/>
              </w:rPr>
              <w:t>受访企业已从代表处升级为完整实体</w:t>
            </w:r>
          </w:p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 w:val="0"/>
                <w:color w:val="69717E"/>
                <w:sz w:val="16"/>
              </w:rPr>
              <w:t>PwC调查</w:t>
            </w:r>
          </w:p>
        </w:tc>
        <w:tc>
          <w:tcPr>
            <w:tcW w:type="dxa" w:w="2995"/>
            <w:shd w:fill="F3F5F8"/>
            <w:tcMar>
              <w:top w:w="180" w:type="dxa"/>
              <w:start w:w="150" w:type="dxa"/>
              <w:bottom w:w="180" w:type="dxa"/>
              <w:end w:w="150" w:type="dxa"/>
            </w:tcMar>
          </w:tcPr>
          <w:p>
            <w:pPr>
              <w:spacing w:after="6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17264C"/>
                <w:sz w:val="30"/>
              </w:rPr>
              <w:t>20亿美元</w:t>
            </w:r>
          </w:p>
          <w:p>
            <w:pPr>
              <w:spacing w:after="40"/>
              <w:jc w:val="center"/>
            </w:pPr>
            <w:r>
              <w:rPr>
                <w:rFonts w:ascii="Microsoft YaHei" w:hAnsi="Microsoft YaHei" w:eastAsia="Microsoft YaHei"/>
                <w:b/>
                <w:color w:val="292B30"/>
                <w:sz w:val="17"/>
              </w:rPr>
              <w:t>Lenovo—Alat沙特制造基地投资安排</w:t>
            </w:r>
          </w:p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 w:val="0"/>
                <w:color w:val="69717E"/>
                <w:sz w:val="16"/>
              </w:rPr>
              <w:t>2025年完成交易公告</w:t>
            </w:r>
          </w:p>
        </w:tc>
      </w:tr>
    </w:tbl>
    <w:p>
      <w:pPr>
        <w:spacing w:after="0"/>
      </w:pPr>
    </w:p>
    <w:p>
      <w:pPr>
        <w:spacing w:before="180" w:after="60"/>
      </w:pPr>
      <w:r>
        <w:rPr>
          <w:rFonts w:ascii="Microsoft YaHei" w:hAnsi="Microsoft YaHei" w:eastAsia="Microsoft YaHei"/>
          <w:b w:val="0"/>
          <w:color w:val="69717E"/>
          <w:sz w:val="17"/>
        </w:rPr>
        <w:t>研究对象  /  中国企业境外直接投资及相关产业项目</w:t>
      </w:r>
    </w:p>
    <w:p>
      <w:r>
        <w:rPr>
          <w:rFonts w:ascii="Microsoft YaHei" w:hAnsi="Microsoft YaHei" w:eastAsia="Microsoft YaHei"/>
          <w:b w:val="0"/>
          <w:color w:val="69717E"/>
          <w:sz w:val="17"/>
        </w:rPr>
        <w:t>数据截点：截至 2026年10月22日 可查的公开资料；2025 年年度 ODI 采用三部门统计公报最终口径，较早发布的初步统计单独标注。</w:t>
      </w:r>
    </w:p>
    <w:p>
      <w:pPr>
        <w:pStyle w:val="Heading1"/>
        <w:keepNext/>
        <w:pageBreakBefore/>
      </w:pPr>
      <w:r>
        <w:rPr>
          <w:rFonts w:ascii="Microsoft YaHei" w:hAnsi="Microsoft YaHei" w:eastAsia="Microsoft YaHei"/>
          <w:b/>
          <w:color w:val="17264C"/>
          <w:sz w:val="34"/>
        </w:rPr>
        <w:t>一  核心判断与投资脉络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PwC对136家中国企业的调查显示，86%计划扩大中东业务，77%已由代表处升级为完整实体；这是企业调查意向，不是 ODI 统计。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沙特与阿联酋适合作为制造、区域销售、数字服务和资本平台重点评估；埃及可作为北非市场与制造基地，但汇率、融资、外汇可得性和进口环节需要纳入现金流压力测试。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2025年沙特 Lenovo—Alat制造基地、Saudi Aramco—Sinopec/YASREF炼化合作框架体现了“产业链落地 + 当地伙伴”的合作模式，项目信息和投资额须按公告状态辨别。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FF2EC"/>
            <w:tcMar>
              <w:top w:w="160" w:type="dxa"/>
              <w:start w:w="200" w:type="dxa"/>
              <w:bottom w:w="160" w:type="dxa"/>
              <w:end w:w="200" w:type="dxa"/>
            </w:tcMar>
          </w:tcPr>
          <w:p>
            <w:pPr>
              <w:spacing w:after="60"/>
            </w:pPr>
            <w:r/>
            <w:r>
              <w:rPr>
                <w:rFonts w:ascii="Microsoft YaHei" w:hAnsi="Microsoft YaHei" w:eastAsia="Microsoft YaHei"/>
                <w:b/>
                <w:color w:val="E9562B"/>
                <w:sz w:val="18"/>
              </w:rPr>
              <w:t>阅读提示</w:t>
            </w:r>
          </w:p>
          <w:p>
            <w:pPr>
              <w:spacing w:after="0" w:line="288" w:lineRule="auto"/>
            </w:pPr>
            <w:r>
              <w:rPr>
                <w:rFonts w:ascii="Microsoft YaHei" w:hAnsi="Microsoft YaHei" w:eastAsia="Microsoft YaHei"/>
                <w:b w:val="0"/>
                <w:color w:val="292B30"/>
                <w:sz w:val="20"/>
              </w:rPr>
              <w:t>本报告把官方 ODI 流量、并购公告、项目投资承诺和企业调查分开使用；公告计划额不等于已投入资本，东道国接收全球 FDI 也不等于中国来源 ODI。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二  规模、结构与数据口径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PwC 2025调查样本为136家中国企业，其中86%表达扩大中东业务计划，40%表示已实现盈利；不能将调查结果外推为全部中企的代表性统计。商务部年报对2025年非金融 ODI 的初步数据曾显示非洲增长41%、欧洲增长20.9%、亚洲增长1.2%，但这并不提供中东国家的完整分拆，且属于年内初步口径，不与2025年最终全行业 ODI 总额直接拼接。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商务部按非金融类投资合作通报的区域增长、全行业ODI统计和项目公告各有边界；中东项目也常由当地国资基金与中资企业合资。Lenovo—Alat交易可作为已交割的实际投资案例，YASREF项目仍是框架合作，二者不可放在同一“已完成”口径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2024年区域</w:t>
            </w:r>
          </w:p>
        </w:tc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官方 ODI 流量（亿美元）</w:t>
            </w:r>
          </w:p>
        </w:tc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同比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亚洲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1536.7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+8.5%</w:t>
            </w:r>
          </w:p>
        </w:tc>
      </w:tr>
      <w:tr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拉美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155.6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+15.4%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欧洲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124.9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+25.3%</w:t>
            </w:r>
          </w:p>
        </w:tc>
      </w:tr>
      <w:tr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北美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60.2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-22.6%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非洲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33.7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-14.9%</w:t>
            </w:r>
          </w:p>
        </w:tc>
      </w:tr>
    </w:tbl>
    <w:p>
      <w:pPr>
        <w:spacing w:before="60"/>
      </w:pPr>
      <w:r>
        <w:rPr>
          <w:rFonts w:ascii="Microsoft YaHei" w:hAnsi="Microsoft YaHei" w:eastAsia="Microsoft YaHei"/>
          <w:b w:val="0"/>
          <w:color w:val="69717E"/>
          <w:sz w:val="16"/>
        </w:rPr>
        <w:t>图表口径：2024年度官方地区分项；2025年区域趋势以EY并购公告或商务部初步非金融类同比另列，不替代官方地区流量。</w:t>
      </w:r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三  市场机会与进入方式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沙特阿拉伯以产业转型和大型项目带动制造、工业服务、数字化和基建需求；项目评估需核实本地实体、许可、沙特化用工、内容本地化和招标资格。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阿联酋可作为区域总部、贸易、物流、金融、数字和专业服务平台；自由区与本土市场实体的许可边界、签证及税务实质规则需要分别评估。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埃及连接北非与中东的市场和供应链，但应对汇率、外汇回流、关税、进口许可、融资和政策变更进行情景分析。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卡塔尔、阿曼等市场可能出现油气、能源、基础设施与高端服务机会，单一大项目的客户集中度、合同担保和付款条件需要审慎核查。</w:t>
      </w:r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市场准入、注册资本与园区政策比较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下表按本地区代表市场比较外资准入、常见实体资本规则与园区/产业政策。对未设统一公司资本下限的市场，行业许可仍可能规定最低资本、持股比例、实缴期限或本地伙伴要求；激励只适用于经批准且满足持续经营、就业/投资等条件的项目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国家/地区（共5个）</w:t>
            </w:r>
          </w:p>
        </w:tc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持股与资本规则（概要）</w:t>
            </w:r>
          </w:p>
        </w:tc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园区与产业政策（概要）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阿联酋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多数大陆公司可100%外资持股，战略影响活动例外；自由区持股和境内经营边界不同。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自由区/经济区有税务、海关和设立便利，但优惠取决于活动、实质经营和合格收入。</w:t>
            </w:r>
          </w:p>
        </w:tc>
      </w:tr>
      <w:tr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沙特阿拉伯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需依活动取得投资登记/许可；金融、通信、能源等活动适用专门资本及股权规则。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经济特区对获批产业提供差异化税收、劳动和海关政策，需满足资格及项目承诺。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埃及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一般公司设立资本依公司类型和行业许可；金融、保险、银行等有专项资本规则。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经济区及黄金牌照可简化多项审批；优惠需对应指定项目、投资规模及实施计划。</w:t>
            </w:r>
          </w:p>
        </w:tc>
      </w:tr>
      <w:tr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摩洛哥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一般企业无统一高额最低资本；金融、保险、电信等另有行业资本/许可。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投资特许及工业加速区支持受地区、投资额、就业和出口条件约束。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卡塔尔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公司资本通常按公司形式/业务审批确定；金融、保险及部分能源活动有专项门槛。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自由区和经济区提供税费/通关便利，须符合获批行业和实质经营条件。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四  代表性项目观察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2025年Lenovo与沙特公共投资基金旗下Alat完成20亿美元投资安排并启动利雅得制造基地建设，公告计划2026年投产；中国石化与沙特阿美及YASREF在2025年签署炼化与石化扩建框架协议。前者展示制造与本地产业合作，后者仍是框架协议而非已完成资本投入，分析时应区分公告、协议、最终投资决策和投产。</w:t>
      </w:r>
    </w:p>
    <w:p>
      <w:pPr>
        <w:pStyle w:val="Heading2"/>
        <w:keepNext/>
      </w:pPr>
      <w:r>
        <w:rPr>
          <w:rFonts w:ascii="Microsoft YaHei" w:hAnsi="Microsoft YaHei" w:eastAsia="Microsoft YaHei"/>
          <w:b/>
          <w:color w:val="A86B4F"/>
          <w:sz w:val="24"/>
        </w:rPr>
        <w:t>代表项目观察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以下项目区分股权投资、建设投资、许可合作与项目规划。金额均按企业或政府公开披露口径记录；未披露的明确标记，规划额不代表已投金额。项目状态以来源公布日期为准，重大交易需再核验最新进展。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项目与所在地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投资方与产业环节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公开金额与项目阶段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可核验的投资观察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沙特利雅得｜Lenovo—Alat制造与区域总部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联想；智能设备和服务器生产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双方披露US$2bn投资完成交割；2025年开工，计划2026年生产。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区分Alat可转债投资与工厂资本开支；跟踪投产、本地采购、岗位和区域总部运营。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沙特延布｜YASREF石化扩建框架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中国石化与沙特阿美/YASREF；炼化与化工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2025年签署合作框架，投资额/最终投资决定尚未统一披露。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状态是框架合作，不是已最终决策的建设投资；需追踪可研、审批、融资及承购。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阿联酋｜中资企业自由区区域总部与仓配平台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多家中资企业；贸易/物流/数字服务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单个实体金额多未公开；不得将自由区招商总额归因于特定中资企业。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以法人登记、实际人员、交易合同、仓储和牌照核验项目实质。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五  重点合规与执行风险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股权与许可：当地投资许可、外资持股限制、受益所有人披露、本地代理和合资方权限需逐项确认。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资金与税务：外汇可兑换、分红回流、预提税、增值税、经济实质、自由区和转让定价安排需按国家和实体类型核查。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项目履约：政府项目和大型客户合同要核对招标资格、保函、里程碑付款、合同变更、争议解决和制裁条款。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人员及数据：用工本地化、签证、职业安全、数据本地存储和网络安全要求可能直接影响实体运营和成本。</w:t>
      </w:r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六  投资启示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先按目标客户、供应链、物流、人才、电力/水资源与政策资格设定筛选权重，再在中东与北非代表市场中做同口径比较；园区税惠不能抵消低利用率或物流瓶颈。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将市场进入拆成销售/服务实体、区域总部、制造/资源项目和控股平台，分别核算资本需求、许可周期、现金流与退出成本。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采用分阶段承诺：先验证客户订单、许可、土地/厂房、能源和关键供应商，再进入大额固定资产投资；把激励兑现和本地化承诺设为投后监控指标。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董事会立项时同步批准 ODI 申报路径、股权/债务比例、资本金时间表、境外开户及税务/会计治理，确保批准金额与最终交易、资金流和项目用途相互匹配。</w:t>
      </w:r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地区专题1  投资路径与区域运营架构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中东与北非既包括海湾枢纽，也包括人口和制造业市场以及资源型经济体。阿联酋常作为区域总部、贸易和服务平台；沙特侧重本地市场、工业化和大型项目；埃及、摩洛哥等可承接制造、物流和区域市场业务。架构应明确自由区实体与本土实体的合同边界、利润归属、税务实质、人员和客户覆盖范围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对政府项目、国有企业合作和大型资源项目，建议在立项时确定合作方授权、采购制度、项目融资、付款保障、承购条件和争议解决地。外资股比、最低资本和许可证通常依活动而异；金融、电信、能源、军民两用和专业服务需单独检查。商业代理、分销和本地化要求也可能影响最终控制和利润回流，不能只按公司注册规则决策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专题决策清单</w:t>
            </w:r>
          </w:p>
        </w:tc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建议形成的投委会材料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实体与控制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说明投资主体、最终受益人、当地董事/授权、业务范围和境内 ODI 备案/核准的一致性。</w:t>
            </w:r>
          </w:p>
        </w:tc>
      </w:tr>
      <w:tr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资本与资金</w:t>
            </w:r>
          </w:p>
        </w:tc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区分法定注册资本、最低实缴、项目资本开支和营运资金；写明股权/股东贷款比例、币种与拨付节点。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合作与退出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约定合资保留事项、追加出资、技术/采购、僵局、许可变更和退出机制。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地区专题2  自由区/经济区选址与优惠验证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自由区或经济区政策须与企业实际业务相匹配。核对公司可开展的活动、是否能向本地市场销售、是否需要另设境内实体、海关货物流转规则、合格收入边界、人员签证配额及实际办公要求。沙特经济特区、阿联酋自由区、埃及经济区等提供的优惠并非通用免税承诺；须取得正式许可或批准并维护经济实质、就业、投资和合规申报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选址还要比较港口/机场、物流通道、能源、水资源、土地期限、客户集中度、工程和本地人才。新能源、数据中心与制造项目需提前锁定电力、冷却水、并网、用地及设备清关安排；总部和服务平台则评估员工签证、银行开户和跨境资金管理。激励谈判要明确税率适用年限、投资/就业承诺、审批前置、违约追缴和政策变更处理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专题决策清单</w:t>
            </w:r>
          </w:p>
        </w:tc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建议形成的投委会材料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地块与资格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留存园区边界/地块权属、活动资格、正式批文、申请先后次序及不可逆支出的书面依据。</w:t>
            </w:r>
          </w:p>
        </w:tc>
      </w:tr>
      <w:tr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配套与成本</w:t>
            </w:r>
          </w:p>
        </w:tc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取得能源、水、物流、通关、环保处理和劳工服务的服务承诺，测算隐性收费和接入周期。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激励与追回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列清投资额/就业/本地化承诺、优惠期限、申报证据、年度报告及不达标追回责任。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地区专题3  项目融资与现金回流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大型工业和能源项目通常分阶段融资，现金流由许可、工程、设备交付、并网、承购和长期运营合同共同决定。模型应纳入本币和美元敞口、融资利率、担保费用、进口成本、付款时点和政府/大型客户信用风险。若项目依赖购电协议、政府采购或长期承购，确认合同期限、价格调整、不可抗力、终止补偿及付款担保可执行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制造项目需加入本地化采购、劳工培训、备件和服务网络成本；资源/石化项目还需评估原料供应、运输和环保要求。总部平台若承担区域融资或服务功能，要验证资金来源、关联交易、受益所有人、税收居民资格和银行客户尽调文件。采用保守情景评估补贴延迟、许可延期、客户订单减少及资金汇回受限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专题决策清单</w:t>
            </w:r>
          </w:p>
        </w:tc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建议形成的投委会材料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收入与成本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用客户合同/承购、销量、利用率、物流、能源、人工和税费建立基准/下行两套模型。</w:t>
            </w:r>
          </w:p>
        </w:tc>
      </w:tr>
      <w:tr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资金与汇率</w:t>
            </w:r>
          </w:p>
        </w:tc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测算汇率、利率、资本管制、应收账款、库存及利润汇回对现金流的影响，设最低现金储备。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阶段与回报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分期释放资本，以许可、订单、建设、良率/产能利用率为闸门；量化暂停、扩产和退出阈值。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地区专题4  政府关系、合规与投后闸门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项目推进应将政府关系制度化为正式许可、书面沟通和可审计的审批记录，设置反贿赂、第三方代理尽调和制裁筛查。国有企业合作与政府采购需明确授权、招标和付款安排；涉及出口管制技术、敏感数据或双用途设备时，核验终端用户和最终用途。劳工、职业安全、签证与本地雇佣要求要在预算和工期中提前安排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投后重点看本地化比例、就业培训、项目支出、优惠条件、许可续期、税务和受益所有人申报。按季度复核建设预算、应收账款、政府付款、合同变更和银行授信。对于经济区优惠依赖度高的项目，需建立政策到期或不再符合资格后的退出/迁移情景，并保证公司账务、审计、资金和合同资料随时满足官方核验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专题决策清单</w:t>
            </w:r>
          </w:p>
        </w:tc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建议形成的投委会材料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审批里程碑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列出主管机关、材料、前置条件、责任人、最长周期和未获批时的合同处理。</w:t>
            </w:r>
          </w:p>
        </w:tc>
      </w:tr>
      <w:tr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投后指标</w:t>
            </w:r>
          </w:p>
        </w:tc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跟踪实际出资、预算偏差、就业/本地供应、税惠履约、许可续期、审计意见和合规事件。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风险预案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对政策变化、供应链中断、项目延期、汇率冲击和客户流失指定触发点、责任人及替代方案。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区域投资流向与市场规模拆解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区域判断优先使用直接投资流量、投资存量和项目/并购公告三类指标。官方区域非金融ODI增速与EY公告并购数据库覆盖不同项目且统计时点不同，不能相加。国家/地区比较只使用本册列出的市场；在缺少一致统计时，明确标注“无同口径公开值”，不以贸易额代替投资额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指标/市场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公开数据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统计范围与阶段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对投资决策的含义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中东投资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国别ODI和项目投资需分开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统计归属受控股平台影响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没有可靠统一区域值时不推算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沙特Lenovo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20亿美元可转债投资已交割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2025年项目开工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工厂资本和金融投资分别记录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沙特YASREF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框架合作，最终投资金额未披露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尚需决策/审批/融资核验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不列为已落实资本</w:t>
            </w:r>
          </w:p>
        </w:tc>
      </w:tr>
    </w:tbl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地区投资结论应以企业层面的订单、资产和项目审批复核：先确认目的地国别和实际运营地点，再检查同一交易是否已在直接投资、并购公告或EPC合同中被重复统计。对于本地市场规模，使用GDP、贸易额、港口吞吐等代理变量时，应明确其只反映需求或通道条件，不是中资投资金额。</w:t>
      </w:r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国家筛选后的投前决策闸门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将市场比较转为投委会可执行的决策条件。下表列出各市场最应先取得的证据；任何关键股权许可、土地/资源权、客户订单或资金回流条件未确认时，应暂缓不可逆资本开支。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国家/地区</w:t>
            </w:r>
          </w:p>
        </w:tc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适配投资方向</w:t>
            </w:r>
          </w:p>
        </w:tc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进入下一阶段前需要的项目证据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阿联酋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国际贸易/区域总部/物流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确认自由区活动与境内业务边界、合格收入、实际管理、税务登记和本地客户范围。</w:t>
            </w:r>
          </w:p>
        </w:tc>
      </w:tr>
      <w:tr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沙特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本地制造/数字/能源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锁定投资许可、区域总部/本地化要求、土地、公用事业、雇佣及政府采购条件。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埃及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制造/物流/消费市场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将外汇可得性、港口和工业区土地、设备进口及税惠书面条件设为投委会前置项。</w:t>
            </w:r>
          </w:p>
        </w:tc>
      </w:tr>
      <w:tr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摩洛哥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汽车/航空/可再生能源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核实产业集群客户、区域援助、出口通道和当地供应商认证。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卡塔尔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能源/服务/总部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验证合资/持股路径、自由区适用业务、国有客户采购与能源/水资源安排。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七  建议的 90 天工作顺序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阶段</w:t>
            </w:r>
          </w:p>
        </w:tc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建议动作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第 1 阶段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0—30天：选定国家与项目类型，验证许可、股权、招标资格、外汇和本地化要求。</w:t>
            </w:r>
          </w:p>
        </w:tc>
      </w:tr>
      <w:tr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第 2 阶段</w:t>
            </w:r>
          </w:p>
        </w:tc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30—60天：完成中国 ODI 路径、资金来源证明、本地合资/实体结构和税务现金流模型。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第 3 阶段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60—90天：开户与签字权落地，建立当地账务、发票、工资、VAT/企业所得税和年报日历。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研究说明与资料来源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统计口径说明：全行业 ODI 与非金融类 ODI 不能直接互换；人民币和美元同比受汇率及统计修订影响；并购公告金额可能含未交割交易；不同机构数据库对交易对象、宣布时间、完成状态和目的地归属采用不同规则。本报告在相关指标处注明口径，重大投资或法规决策应基于项目事实重新核验。</w:t>
      </w:r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附录  中国对外直接投资长期流量序列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为观察长期趋势，本表采用商务部统计公报发布的2006—2024年年度序列，并补入2025年最终公报数据。单位为亿美元。2006年以前的早期数据统计范围与全行业 ODI 不完全一致，故不与本序列拼接。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年份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流量（亿美元）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年份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流量（亿美元）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2006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211.6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2016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1,961.5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2007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265.1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2017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1,582.9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2008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559.1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2018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1,430.4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2009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565.3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2019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1,369.1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2010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688.1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2020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1,537.1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2011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746.5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2021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1,788.2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2012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878.0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2022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1,631.2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2013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1,078.4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2023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1,772.9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2014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1,231.2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2024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1,922.0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2015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1,456.7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2025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2,135.8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FF2EC"/>
            <w:tcMar>
              <w:top w:w="160" w:type="dxa"/>
              <w:start w:w="200" w:type="dxa"/>
              <w:bottom w:w="160" w:type="dxa"/>
              <w:end w:w="200" w:type="dxa"/>
            </w:tcMar>
          </w:tcPr>
          <w:p>
            <w:pPr>
              <w:spacing w:after="60"/>
            </w:pPr>
            <w:r/>
            <w:r>
              <w:rPr>
                <w:rFonts w:ascii="Microsoft YaHei" w:hAnsi="Microsoft YaHei" w:eastAsia="Microsoft YaHei"/>
                <w:b/>
                <w:color w:val="E9562B"/>
                <w:sz w:val="18"/>
              </w:rPr>
              <w:t>趋势解读</w:t>
            </w:r>
          </w:p>
          <w:p>
            <w:pPr>
              <w:spacing w:after="0" w:line="288" w:lineRule="auto"/>
            </w:pPr>
            <w:r>
              <w:rPr>
                <w:rFonts w:ascii="Microsoft YaHei" w:hAnsi="Microsoft YaHei" w:eastAsia="Microsoft YaHei"/>
                <w:b w:val="0"/>
                <w:color w:val="292B30"/>
                <w:sz w:val="20"/>
              </w:rPr>
              <w:t>2025年为最终统计公报发布值，2135.8亿美元；它比2024年最终公布值1922.0亿美元高11.1%。不同年度公报可能修订历史分项，跨年分析应以同一版本序列为基础。</w:t>
            </w:r>
          </w:p>
        </w:tc>
      </w:tr>
    </w:tbl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[1] 商务部等《2025年度中国对外直接投资统计公报》  </w:t>
      </w:r>
      <w:hyperlink r:id="rId12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[2] EY《Overview of 2025 China outbound investment》报告全文  </w:t>
      </w:r>
      <w:hyperlink r:id="rId13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[3] PwC《Chinese enterprises expand steadily into the Middle East market》  </w:t>
      </w:r>
      <w:hyperlink r:id="rId14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[4] 沙特国家平台：Lenovo与Alat制造基地  </w:t>
      </w:r>
      <w:hyperlink r:id="rId15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[5] 沙特阿美：中国石化与YASREF石化扩建框架协议  </w:t>
      </w:r>
      <w:hyperlink r:id="rId16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[6] 商务部：2026年1—8月我国全行业对外直接投资简明统计  </w:t>
      </w:r>
      <w:hyperlink r:id="rId17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[7] 商务部《2025年我国对外非金融类直接投资简明统计》  </w:t>
      </w:r>
      <w:hyperlink r:id="rId18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[8] 商务部《2025年对外非金融类直接投资行业统计表》  </w:t>
      </w:r>
      <w:hyperlink r:id="rId19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[9] EY《2025年中国海外投资概览》及地区并购数据  </w:t>
      </w:r>
      <w:hyperlink r:id="rId20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[10] 沙特国家平台：Lenovo与Alat完成20亿美元投资并开工  </w:t>
      </w:r>
      <w:hyperlink r:id="rId15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[11] 摩洛哥经济与财政部：BTR电池正极工厂投资协议（3 billion迪拉姆、5万吨/年）  </w:t>
      </w:r>
      <w:hyperlink r:id="rId21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[12] 商务部等《2024年度中国对外直接投资统计公报》历史流量图表  </w:t>
      </w:r>
      <w:hyperlink r:id="rId22">
        <w:r>
          <w:rPr>
            <w:color w:val="E9562B"/>
            <w:u w:val="single"/>
          </w:rPr>
          <w:t>查看原文</w:t>
        </w:r>
      </w:hyperlink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投资委员会初筛评分卡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建议项目组在国家/地区初筛后，由业务、财务、法务合规和运营共同评分。权重和阈值是本报告提供的讨论模板，可按企业风险偏好调整；它们不是东道国法定标准，也不能替代尽职调查。每项按1—5分评分，5分代表证据充分且风险可控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评分维度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权重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评分依据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项目评分（1—5）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市场需求与客户覆盖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20%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订单/客户访谈、市场规模、竞品和收入币种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____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准入与许可可执行性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15%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外资股比、资本/实缴、行业许可和审批周期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____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园区与激励可获得性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10%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地块资格、活动清单、正式批文与履约条件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____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供应链与生产要素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15%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供应商、能源、水、物流、人才和基础设施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____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风险调整后回报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20%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基准/下行情景、资本成本、汇率及回收期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____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治理、韧性与退出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20%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伙伴治理、资金回流、审计、停产/退出方案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____</w:t>
            </w:r>
          </w:p>
        </w:tc>
      </w:tr>
    </w:tbl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计算建议：加权得分＝Σ（单项评分×权重）÷5。可将低于60分设为暂缓，60—75分进入补充尽调，高于75分提交正式立项审议；若外资准入、关键许可、土地权属或资金来源存在未解决的否决性问题，不因总分较高而跳过先决条件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3F5F8"/>
            <w:tcMar>
              <w:top w:w="160" w:type="dxa"/>
              <w:start w:w="200" w:type="dxa"/>
              <w:bottom w:w="160" w:type="dxa"/>
              <w:end w:w="200" w:type="dxa"/>
            </w:tcMar>
          </w:tcPr>
          <w:p>
            <w:pPr>
              <w:spacing w:after="60"/>
            </w:pPr>
            <w:r/>
            <w:r>
              <w:rPr>
                <w:rFonts w:ascii="Microsoft YaHei" w:hAnsi="Microsoft YaHei" w:eastAsia="Microsoft YaHei"/>
                <w:b/>
                <w:color w:val="E9562B"/>
                <w:sz w:val="18"/>
              </w:rPr>
              <w:t>投资决策使用提示</w:t>
            </w:r>
          </w:p>
          <w:p>
            <w:pPr>
              <w:spacing w:after="0" w:line="288" w:lineRule="auto"/>
            </w:pPr>
            <w:r>
              <w:rPr>
                <w:rFonts w:ascii="Microsoft YaHei" w:hAnsi="Microsoft YaHei" w:eastAsia="Microsoft YaHei"/>
                <w:b w:val="0"/>
                <w:color w:val="292B30"/>
                <w:sz w:val="20"/>
              </w:rPr>
              <w:t>本报告用于形成市场初筛和尽调议题清单，不构成法律、税务、审计或投资建议。涉及持股比例、最低资本、实缴期限、园区激励和行业许可的具体项目，应以投资地主管机关最新正式规则及书面批准为准。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37" w:right="1123" w:bottom="1037" w:left="1123" w:header="432" w:footer="461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Microsoft YaHei" w:hAnsi="Microsoft YaHei" w:eastAsia="Microsoft YaHei"/>
        <w:b w:val="0"/>
        <w:color w:val="69717E"/>
        <w:sz w:val="16"/>
      </w:rPr>
      <w:t xml:space="preserve">上海乾桥禾融企业咨询有限公司  ·  2026年10月22日  ·  </w:t>
    </w:r>
    <w:r>
      <w:rPr>
        <w:rFonts w:ascii="Microsoft YaHei" w:hAnsi="Microsoft YaHei" w:eastAsia="Microsoft YaHei"/>
        <w:b w:val="0"/>
        <w:color w:val="69717E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Microsoft YaHei" w:hAnsi="Microsoft YaHei" w:eastAsia="Microsoft YaHei"/>
        <w:b/>
        <w:color w:val="17264C"/>
        <w:sz w:val="16"/>
      </w:rPr>
      <w:t>乾桥禾融  |  企业出海研究系列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Microsoft YaHei" w:hAnsi="Microsoft YaHei" w:eastAsia="Microsoft YaHei"/>
      <w:color w:val="292B3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17264C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A86B4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E9562B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https://www.mofcom.gov.cn/zfxxgk/gkml/art/2026/art_5135ff712b8f4bdc804374d2d29ff9f0.html" TargetMode="External"/><Relationship Id="rId13" Type="http://schemas.openxmlformats.org/officeDocument/2006/relationships/hyperlink" Target="https://www.ey.com/content/dam/ey-unified-site/ey-com/zh-cn/insights/china-overseas-investment-network/documents/ey-overview-of-2025-china-outbound-investment-zh.pdf" TargetMode="External"/><Relationship Id="rId14" Type="http://schemas.openxmlformats.org/officeDocument/2006/relationships/hyperlink" Target="https://www.pwc.com/m1/en/publications/2025/docs/chinese-enterprises-expand-steadily-into-the-middle-east-market-with-heightened-confidence.pdf" TargetMode="External"/><Relationship Id="rId15" Type="http://schemas.openxmlformats.org/officeDocument/2006/relationships/hyperlink" Target="https://my.gov.sa/en/news/16995" TargetMode="External"/><Relationship Id="rId16" Type="http://schemas.openxmlformats.org/officeDocument/2006/relationships/hyperlink" Target="https://china.aramco.com/zh-cn/news-media/china-news/2025/aramco-sinopec-and-yasref-sign-venture-framework-agreement-for-planned-petrochemical-expansion" TargetMode="External"/><Relationship Id="rId17" Type="http://schemas.openxmlformats.org/officeDocument/2006/relationships/hyperlink" Target="https://www.mofcom.gov.cn/zfxxgk/gkml/art/2026/art_acc985c3e5794ca9ab4c624db69f0f5b.html" TargetMode="External"/><Relationship Id="rId18" Type="http://schemas.openxmlformats.org/officeDocument/2006/relationships/hyperlink" Target="https://www.mofcom.gov.cn/zfxxgk/fdzdgknr/ztfl/tjsj/gwjjhztj/art/2026/art_708927a77336454da43ef9b9af84e06f.html" TargetMode="External"/><Relationship Id="rId19" Type="http://schemas.openxmlformats.org/officeDocument/2006/relationships/hyperlink" Target="https://fec.mofcom.gov.cn/article/zyfw/hybg/qtbg/202602/3959.html" TargetMode="External"/><Relationship Id="rId20" Type="http://schemas.openxmlformats.org/officeDocument/2006/relationships/hyperlink" Target="https://www.ey.com/zh_cn/newsroom/2026/02/ey-releases-the-overview-of-china-outbound-investment-of-2025" TargetMode="External"/><Relationship Id="rId21" Type="http://schemas.openxmlformats.org/officeDocument/2006/relationships/hyperlink" Target="https://www.finances.gov.ma/en/Pages/detail-actualite.aspx?fiche=6840" TargetMode="External"/><Relationship Id="rId22" Type="http://schemas.openxmlformats.org/officeDocument/2006/relationships/hyperlink" Target="https://www.mofcom.gov.cn/cms_files/filemanager/1077459795/attach/20255/b62b8a78eadd4f92898d27286fd5209b.pdf?fileName=2024%E5%B9%B4%E4%B8%AD%E5%9B%BD%E5%AF%B9%E5%A4%96%E7%9B%B4%E6%8E%A5%E6%8A%95%E8%B5%84%E7%BB%9F%E8%AE%A1%E5%85%AC%E6%8A%A5-%E4%B8%AD%E6%96%87%E9%83%A8%E5%88%8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中国企业中东与北非投资白皮书</dc:title>
  <dc:subject>中国企业海外直接投资与经营布局</dc:subject>
  <dc:creator>上海乾桥禾融企业咨询有限公司</dc:creator>
  <cp:keywords>ODI, 出海, 境外投资, 乾桥禾融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