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Lines/>
        <w:spacing w:before="40" w:after="480"/>
      </w:pPr>
      <w:r>
        <w:drawing>
          <wp:inline xmlns:a="http://schemas.openxmlformats.org/drawingml/2006/main" xmlns:pic="http://schemas.openxmlformats.org/drawingml/2006/picture">
            <wp:extent cx="475488" cy="475488"/>
            <wp:docPr id="1" name="Picture 1"/>
            <wp:cNvGraphicFramePr>
              <a:graphicFrameLocks noChangeAspect="1"/>
            </wp:cNvGraphicFramePr>
            <a:graphic>
              <a:graphicData uri="http://schemas.openxmlformats.org/drawingml/2006/picture">
                <pic:pic>
                  <pic:nvPicPr>
                    <pic:cNvPr id="0" name="qianqiao-logo.png"/>
                    <pic:cNvPicPr/>
                  </pic:nvPicPr>
                  <pic:blipFill>
                    <a:blip r:embed="rId11"/>
                    <a:stretch>
                      <a:fillRect/>
                    </a:stretch>
                  </pic:blipFill>
                  <pic:spPr>
                    <a:xfrm>
                      <a:off x="0" y="0"/>
                      <a:ext cx="475488" cy="475488"/>
                    </a:xfrm>
                    <a:prstGeom prst="rect"/>
                  </pic:spPr>
                </pic:pic>
              </a:graphicData>
            </a:graphic>
          </wp:inline>
        </w:drawing>
      </w:r>
      <w:r>
        <w:rPr>
          <w:rFonts w:ascii="Microsoft YaHei" w:hAnsi="Microsoft YaHei" w:eastAsia="Microsoft YaHei"/>
          <w:b/>
          <w:color w:val="17264C"/>
          <w:sz w:val="18"/>
        </w:rPr>
        <w:t xml:space="preserve">   乾桥禾融研究系列  |  上海乾桥禾融企业咨询有限公司</w:t>
      </w:r>
    </w:p>
    <w:p>
      <w:pPr>
        <w:spacing w:before="80" w:after="160"/>
      </w:pPr>
      <w:r>
        <w:rPr>
          <w:rFonts w:ascii="Microsoft YaHei" w:hAnsi="Microsoft YaHei" w:eastAsia="Microsoft YaHei"/>
          <w:b/>
          <w:color w:val="E9562B"/>
          <w:sz w:val="17"/>
        </w:rPr>
        <w:t>QIANQIAO INSIGHT   /   地区研究   /   2026</w:t>
      </w:r>
    </w:p>
    <w:p>
      <w:pPr>
        <w:keepNext/>
        <w:keepLines/>
        <w:spacing w:before="40" w:after="160" w:line="259" w:lineRule="auto"/>
      </w:pPr>
      <w:r>
        <w:rPr>
          <w:rFonts w:ascii="Microsoft YaHei" w:hAnsi="Microsoft YaHei" w:eastAsia="Microsoft YaHei"/>
          <w:b/>
          <w:color w:val="17264C"/>
          <w:sz w:val="64"/>
        </w:rPr>
        <w:t>中国企业北美投资白皮书</w:t>
      </w:r>
    </w:p>
    <w:p>
      <w:pPr>
        <w:keepNext/>
        <w:spacing w:after="220"/>
        <w:pBdr>
          <w:bottom w:val="single" w:sz="20" w:space="8" w:color="E9562B"/>
        </w:pBdr>
      </w:pPr>
      <w:r>
        <w:rPr>
          <w:rFonts w:ascii="Microsoft YaHei" w:hAnsi="Microsoft YaHei" w:eastAsia="Microsoft YaHei"/>
          <w:b w:val="0"/>
          <w:color w:val="A86B4F"/>
          <w:sz w:val="28"/>
        </w:rPr>
        <w:t>以市场接近和经营韧性为目标的审慎布局</w:t>
      </w:r>
    </w:p>
    <w:tbl>
      <w:tblPr>
        <w:tblW w:type="auto" w:w="0"/>
        <w:tblLook w:firstColumn="1" w:firstRow="1" w:lastColumn="0" w:lastRow="0" w:noHBand="0" w:noVBand="1" w:val="04A0"/>
      </w:tblPr>
      <w:tblGrid>
        <w:gridCol w:w="9994"/>
      </w:tblGrid>
      <w:tr>
        <w:tc>
          <w:tcPr>
            <w:tcW w:type="dxa" w:w="9994"/>
            <w:shd w:fill="F3F5F8"/>
            <w:tcMar>
              <w:top w:w="190" w:type="dxa"/>
              <w:start w:w="220" w:type="dxa"/>
              <w:bottom w:w="190" w:type="dxa"/>
              <w:end w:w="220" w:type="dxa"/>
            </w:tcMar>
          </w:tcPr>
          <w:p>
            <w:pPr>
              <w:spacing w:after="100"/>
            </w:pPr>
            <w:r/>
            <w:r>
              <w:rPr>
                <w:rFonts w:ascii="Microsoft YaHei" w:hAnsi="Microsoft YaHei" w:eastAsia="Microsoft YaHei"/>
                <w:b/>
                <w:color w:val="E9562B"/>
                <w:sz w:val="18"/>
              </w:rPr>
              <w:t>研究要点</w:t>
            </w:r>
          </w:p>
          <w:p>
            <w:pPr>
              <w:spacing w:after="0" w:line="295" w:lineRule="auto"/>
            </w:pPr>
            <w:r>
              <w:rPr>
                <w:rFonts w:ascii="Microsoft YaHei" w:hAnsi="Microsoft YaHei" w:eastAsia="Microsoft YaHei"/>
                <w:b w:val="0"/>
                <w:color w:val="292B30"/>
                <w:sz w:val="21"/>
              </w:rPr>
              <w:t>北美市场体量大、客户和技术生态成熟，但中国投资者面对更高的国家安全审查、贸易和供应链政策不确定性。适合以客户服务、品牌、供应商协同、既有资产扩建和可行的本地制造为切入点，先做可执行性评估，再决定资本投入深度。</w:t>
            </w:r>
          </w:p>
        </w:tc>
      </w:tr>
    </w:tbl>
    <w:p>
      <w:pPr>
        <w:spacing w:after="0"/>
      </w:pPr>
    </w:p>
    <w:tbl>
      <w:tblPr>
        <w:tblW w:type="auto" w:w="0"/>
        <w:jc w:val="center"/>
        <w:tblLayout w:type="fixed"/>
        <w:tblLook w:firstColumn="1" w:firstRow="1" w:lastColumn="0" w:lastRow="0" w:noHBand="0" w:noVBand="1" w:val="04A0"/>
      </w:tblPr>
      <w:tblGrid>
        <w:gridCol w:w="3331"/>
        <w:gridCol w:w="3331"/>
        <w:gridCol w:w="3331"/>
      </w:tblGrid>
      <w:tr>
        <w:tc>
          <w:tcPr>
            <w:tcW w:type="dxa" w:w="2995"/>
            <w:shd w:fill="F3F5F8"/>
            <w:tcMar>
              <w:top w:w="180" w:type="dxa"/>
              <w:start w:w="150" w:type="dxa"/>
              <w:bottom w:w="180" w:type="dxa"/>
              <w:end w:w="150" w:type="dxa"/>
            </w:tcMar>
          </w:tcPr>
          <w:p>
            <w:pPr>
              <w:spacing w:after="60"/>
              <w:jc w:val="center"/>
            </w:pPr>
            <w:r/>
            <w:r>
              <w:rPr>
                <w:rFonts w:ascii="Microsoft YaHei" w:hAnsi="Microsoft YaHei" w:eastAsia="Microsoft YaHei"/>
                <w:b/>
                <w:color w:val="17264C"/>
                <w:sz w:val="30"/>
              </w:rPr>
              <w:t>60.2亿美元</w:t>
            </w:r>
          </w:p>
          <w:p>
            <w:pPr>
              <w:spacing w:after="40"/>
              <w:jc w:val="center"/>
            </w:pPr>
            <w:r>
              <w:rPr>
                <w:rFonts w:ascii="Microsoft YaHei" w:hAnsi="Microsoft YaHei" w:eastAsia="Microsoft YaHei"/>
                <w:b/>
                <w:color w:val="292B30"/>
                <w:sz w:val="17"/>
              </w:rPr>
              <w:t>2024年中国对北美投资</w:t>
            </w:r>
          </w:p>
          <w:p>
            <w:pPr>
              <w:spacing w:after="0"/>
              <w:jc w:val="center"/>
            </w:pPr>
            <w:r>
              <w:rPr>
                <w:rFonts w:ascii="Microsoft YaHei" w:hAnsi="Microsoft YaHei" w:eastAsia="Microsoft YaHei"/>
                <w:b w:val="0"/>
                <w:color w:val="69717E"/>
                <w:sz w:val="16"/>
              </w:rPr>
              <w:t>同比 -22.6%</w:t>
            </w:r>
          </w:p>
        </w:tc>
        <w:tc>
          <w:tcPr>
            <w:tcW w:type="dxa" w:w="2995"/>
            <w:shd w:fill="F3F5F8"/>
            <w:tcMar>
              <w:top w:w="180" w:type="dxa"/>
              <w:start w:w="150" w:type="dxa"/>
              <w:bottom w:w="180" w:type="dxa"/>
              <w:end w:w="150" w:type="dxa"/>
            </w:tcMar>
          </w:tcPr>
          <w:p>
            <w:pPr>
              <w:spacing w:after="60"/>
              <w:jc w:val="center"/>
            </w:pPr>
            <w:r/>
            <w:r>
              <w:rPr>
                <w:rFonts w:ascii="Microsoft YaHei" w:hAnsi="Microsoft YaHei" w:eastAsia="Microsoft YaHei"/>
                <w:b/>
                <w:color w:val="17264C"/>
                <w:sz w:val="30"/>
              </w:rPr>
              <w:t>64亿美元</w:t>
            </w:r>
          </w:p>
          <w:p>
            <w:pPr>
              <w:spacing w:after="40"/>
              <w:jc w:val="center"/>
            </w:pPr>
            <w:r>
              <w:rPr>
                <w:rFonts w:ascii="Microsoft YaHei" w:hAnsi="Microsoft YaHei" w:eastAsia="Microsoft YaHei"/>
                <w:b/>
                <w:color w:val="292B30"/>
                <w:sz w:val="17"/>
              </w:rPr>
              <w:t>2025年北美中国企业海外并购公告额</w:t>
            </w:r>
          </w:p>
          <w:p>
            <w:pPr>
              <w:spacing w:after="0"/>
              <w:jc w:val="center"/>
            </w:pPr>
            <w:r>
              <w:rPr>
                <w:rFonts w:ascii="Microsoft YaHei" w:hAnsi="Microsoft YaHei" w:eastAsia="Microsoft YaHei"/>
                <w:b w:val="0"/>
                <w:color w:val="69717E"/>
                <w:sz w:val="16"/>
              </w:rPr>
              <w:t>同比 +291%，EY口径</w:t>
            </w:r>
          </w:p>
        </w:tc>
        <w:tc>
          <w:tcPr>
            <w:tcW w:type="dxa" w:w="2995"/>
            <w:shd w:fill="F3F5F8"/>
            <w:tcMar>
              <w:top w:w="180" w:type="dxa"/>
              <w:start w:w="150" w:type="dxa"/>
              <w:bottom w:w="180" w:type="dxa"/>
              <w:end w:w="150" w:type="dxa"/>
            </w:tcMar>
          </w:tcPr>
          <w:p>
            <w:pPr>
              <w:spacing w:after="60"/>
              <w:jc w:val="center"/>
            </w:pPr>
            <w:r/>
            <w:r>
              <w:rPr>
                <w:rFonts w:ascii="Microsoft YaHei" w:hAnsi="Microsoft YaHei" w:eastAsia="Microsoft YaHei"/>
                <w:b/>
                <w:color w:val="17264C"/>
                <w:sz w:val="30"/>
              </w:rPr>
              <w:t>490百万美元</w:t>
            </w:r>
          </w:p>
          <w:p>
            <w:pPr>
              <w:spacing w:after="40"/>
              <w:jc w:val="center"/>
            </w:pPr>
            <w:r>
              <w:rPr>
                <w:rFonts w:ascii="Microsoft YaHei" w:hAnsi="Microsoft YaHei" w:eastAsia="Microsoft YaHei"/>
                <w:b/>
                <w:color w:val="292B30"/>
                <w:sz w:val="17"/>
              </w:rPr>
              <w:t>海尔旗下GE Appliances 2025年肯塔基州扩产公告</w:t>
            </w:r>
          </w:p>
          <w:p>
            <w:pPr>
              <w:spacing w:after="0"/>
              <w:jc w:val="center"/>
            </w:pPr>
            <w:r>
              <w:rPr>
                <w:rFonts w:ascii="Microsoft YaHei" w:hAnsi="Microsoft YaHei" w:eastAsia="Microsoft YaHei"/>
                <w:b w:val="0"/>
                <w:color w:val="69717E"/>
                <w:sz w:val="16"/>
              </w:rPr>
              <w:t>制造本地化案例</w:t>
            </w:r>
          </w:p>
        </w:tc>
      </w:tr>
    </w:tbl>
    <w:p>
      <w:pPr>
        <w:spacing w:after="0"/>
      </w:pPr>
    </w:p>
    <w:p>
      <w:pPr>
        <w:spacing w:before="180" w:after="60"/>
      </w:pPr>
      <w:r>
        <w:rPr>
          <w:rFonts w:ascii="Microsoft YaHei" w:hAnsi="Microsoft YaHei" w:eastAsia="Microsoft YaHei"/>
          <w:b w:val="0"/>
          <w:color w:val="69717E"/>
          <w:sz w:val="17"/>
        </w:rPr>
        <w:t>研究对象  /  中国企业境外直接投资及相关产业项目</w:t>
      </w:r>
    </w:p>
    <w:p>
      <w:r>
        <w:rPr>
          <w:rFonts w:ascii="Microsoft YaHei" w:hAnsi="Microsoft YaHei" w:eastAsia="Microsoft YaHei"/>
          <w:b w:val="0"/>
          <w:color w:val="69717E"/>
          <w:sz w:val="17"/>
        </w:rPr>
        <w:t>数据截点：截至 2026年10月22日 可查的公开资料；2025 年年度 ODI 采用三部门统计公报最终口径，较早发布的初步统计单独标注。</w:t>
      </w:r>
    </w:p>
    <w:p>
      <w:pPr>
        <w:pStyle w:val="Heading1"/>
        <w:keepNext/>
        <w:pageBreakBefore/>
      </w:pPr>
      <w:r>
        <w:rPr>
          <w:rFonts w:ascii="Microsoft YaHei" w:hAnsi="Microsoft YaHei" w:eastAsia="Microsoft YaHei"/>
          <w:b/>
          <w:color w:val="17264C"/>
          <w:sz w:val="34"/>
        </w:rPr>
        <w:t>一  核心判断与投资脉络</w:t>
      </w:r>
    </w:p>
    <w:p>
      <w:pPr>
        <w:pStyle w:val="ListBullet"/>
        <w:spacing w:after="80" w:line="283" w:lineRule="auto"/>
        <w:ind w:left="346" w:hanging="202"/>
      </w:pPr>
      <w:r>
        <w:rPr>
          <w:rFonts w:ascii="Microsoft YaHei" w:hAnsi="Microsoft YaHei" w:eastAsia="Microsoft YaHei"/>
          <w:b w:val="0"/>
          <w:color w:val="292B30"/>
          <w:sz w:val="19"/>
        </w:rPr>
        <w:t>2024年中国对北美投资流量为60.2亿美元，同比下降22.6%；2025年EY追踪的北美中企并购公告金额增长至64亿美元，交易指标回升不代表官方 ODI 流量同比回升。</w:t>
      </w:r>
    </w:p>
    <w:p>
      <w:pPr>
        <w:pStyle w:val="ListBullet"/>
        <w:spacing w:after="80" w:line="283" w:lineRule="auto"/>
        <w:ind w:left="346" w:hanging="202"/>
      </w:pPr>
      <w:r>
        <w:rPr>
          <w:rFonts w:ascii="Microsoft YaHei" w:hAnsi="Microsoft YaHei" w:eastAsia="Microsoft YaHei"/>
          <w:b w:val="0"/>
          <w:color w:val="292B30"/>
          <w:sz w:val="19"/>
        </w:rPr>
        <w:t>美国官方对外资审查强调国家安全；投资前需逐项判断企业/资产、敏感数据、地产位置、技术和交易控制权是否触发申报或审查。</w:t>
      </w:r>
    </w:p>
    <w:p>
      <w:pPr>
        <w:pStyle w:val="ListBullet"/>
        <w:spacing w:after="80" w:line="283" w:lineRule="auto"/>
        <w:ind w:left="346" w:hanging="202"/>
      </w:pPr>
      <w:r>
        <w:rPr>
          <w:rFonts w:ascii="Microsoft YaHei" w:hAnsi="Microsoft YaHei" w:eastAsia="Microsoft YaHei"/>
          <w:b w:val="0"/>
          <w:color w:val="292B30"/>
          <w:sz w:val="19"/>
        </w:rPr>
        <w:t>海尔旗下GE Appliances于2025年宣布在肯塔基州投资4.9亿美元扩建洗衣机制造，是面向本地生产的产业投资例子，但不代表所有中资项目都能复制其审批条件。</w:t>
      </w:r>
    </w:p>
    <w:tbl>
      <w:tblPr>
        <w:tblW w:type="auto" w:w="0"/>
        <w:jc w:val="center"/>
        <w:tblLook w:firstColumn="1" w:firstRow="1" w:lastColumn="0" w:lastRow="0" w:noHBand="0" w:noVBand="1" w:val="04A0"/>
      </w:tblPr>
      <w:tblGrid>
        <w:gridCol w:w="9994"/>
      </w:tblGrid>
      <w:tr>
        <w:tc>
          <w:tcPr>
            <w:tcW w:type="dxa" w:w="9994"/>
            <w:shd w:fill="FFF2EC"/>
            <w:tcMar>
              <w:top w:w="160" w:type="dxa"/>
              <w:start w:w="200" w:type="dxa"/>
              <w:bottom w:w="160" w:type="dxa"/>
              <w:end w:w="200" w:type="dxa"/>
            </w:tcMar>
          </w:tcPr>
          <w:p>
            <w:pPr>
              <w:spacing w:after="60"/>
            </w:pPr>
            <w:r/>
            <w:r>
              <w:rPr>
                <w:rFonts w:ascii="Microsoft YaHei" w:hAnsi="Microsoft YaHei" w:eastAsia="Microsoft YaHei"/>
                <w:b/>
                <w:color w:val="E9562B"/>
                <w:sz w:val="18"/>
              </w:rPr>
              <w:t>阅读提示</w:t>
            </w:r>
          </w:p>
          <w:p>
            <w:pPr>
              <w:spacing w:after="0" w:line="288" w:lineRule="auto"/>
            </w:pPr>
            <w:r>
              <w:rPr>
                <w:rFonts w:ascii="Microsoft YaHei" w:hAnsi="Microsoft YaHei" w:eastAsia="Microsoft YaHei"/>
                <w:b w:val="0"/>
                <w:color w:val="292B30"/>
                <w:sz w:val="20"/>
              </w:rPr>
              <w:t>本报告把官方 ODI 流量、并购公告、项目投资承诺和企业调查分开使用；公告计划额不等于已投入资本，东道国接收全球 FDI 也不等于中国来源 ODI。</w:t>
            </w:r>
          </w:p>
        </w:tc>
      </w:tr>
    </w:tbl>
    <w:p>
      <w:pPr>
        <w:pStyle w:val="Heading1"/>
        <w:keepNext/>
      </w:pPr>
      <w:r>
        <w:rPr>
          <w:rFonts w:ascii="Microsoft YaHei" w:hAnsi="Microsoft YaHei" w:eastAsia="Microsoft YaHei"/>
          <w:b/>
          <w:color w:val="17264C"/>
          <w:sz w:val="34"/>
        </w:rPr>
        <w:t>二  规模、结构与数据口径</w:t>
      </w:r>
    </w:p>
    <w:p>
      <w:pPr>
        <w:spacing w:after="140" w:line="307" w:lineRule="auto"/>
        <w:ind w:firstLine="403"/>
      </w:pPr>
      <w:r>
        <w:rPr>
          <w:rFonts w:ascii="Microsoft YaHei" w:hAnsi="Microsoft YaHei" w:eastAsia="Microsoft YaHei"/>
          <w:b w:val="0"/>
          <w:color w:val="292B30"/>
          <w:sz w:val="20"/>
        </w:rPr>
        <w:t>2024年官方地区口径中北美流量60.2亿美元，同比下降22.6%；其中对美国66.3亿美元，因加拿大和百慕大统计流量为负值，地区合计与美国单国数值会出现差额。2025年EY的并购公告追踪显示北美交易额64亿美元，同比增长291%，其中大型交易和基数变化会放大增幅。项目级数据库、官方 ODI 统计、交易金额的确认时间不同，分析时应分别标识。</w:t>
      </w:r>
    </w:p>
    <w:p>
      <w:pPr>
        <w:spacing w:after="140" w:line="307" w:lineRule="auto"/>
        <w:ind w:firstLine="403"/>
      </w:pPr>
      <w:r>
        <w:rPr>
          <w:rFonts w:ascii="Microsoft YaHei" w:hAnsi="Microsoft YaHei" w:eastAsia="Microsoft YaHei"/>
          <w:b w:val="0"/>
          <w:color w:val="292B30"/>
          <w:sz w:val="20"/>
        </w:rPr>
        <w:t>EY统计2025年中国企业对北美海外并购公告额64亿美元，同比约增291%，金额占比由2024年的约5%升至15%；高增长受到低基数与少数大型交易影响，不代表官方ODI流量同步回升。美国项目还需单独拆分股权收购、既有企业扩产和新建资产。</w:t>
      </w:r>
    </w:p>
    <w:tbl>
      <w:tblPr>
        <w:tblStyle w:val="TableGrid"/>
        <w:tblW w:type="auto" w:w="0"/>
        <w:jc w:val="center"/>
        <w:tblLayout w:type="autofit"/>
        <w:tblLook w:firstColumn="1" w:firstRow="1" w:lastColumn="0" w:lastRow="0" w:noHBand="0" w:noVBand="1" w:val="04A0"/>
      </w:tblPr>
      <w:tblGrid>
        <w:gridCol w:w="3331"/>
        <w:gridCol w:w="3331"/>
        <w:gridCol w:w="3331"/>
      </w:tblGrid>
      <w:tr>
        <w:trPr>
          <w:tblHeader w:val="true"/>
        </w:trPr>
        <w:tc>
          <w:tcPr>
            <w:tcW w:type="dxa" w:w="3331"/>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2024年区域</w:t>
            </w:r>
          </w:p>
        </w:tc>
        <w:tc>
          <w:tcPr>
            <w:tcW w:type="dxa" w:w="3331"/>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官方 ODI 流量（亿美元）</w:t>
            </w:r>
          </w:p>
        </w:tc>
        <w:tc>
          <w:tcPr>
            <w:tcW w:type="dxa" w:w="3331"/>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同比</w:t>
            </w:r>
          </w:p>
        </w:tc>
      </w:tr>
      <w:tr>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亚洲</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1536.7</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+8.5%</w:t>
            </w:r>
          </w:p>
        </w:tc>
      </w:tr>
      <w:tr>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拉美</w:t>
            </w:r>
          </w:p>
        </w:tc>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155.6</w:t>
            </w:r>
          </w:p>
        </w:tc>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+15.4%</w:t>
            </w:r>
          </w:p>
        </w:tc>
      </w:tr>
      <w:tr>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欧洲</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124.9</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+25.3%</w:t>
            </w:r>
          </w:p>
        </w:tc>
      </w:tr>
      <w:tr>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北美</w:t>
            </w:r>
          </w:p>
        </w:tc>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60.2</w:t>
            </w:r>
          </w:p>
        </w:tc>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-22.6%</w:t>
            </w:r>
          </w:p>
        </w:tc>
      </w:tr>
      <w:tr>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非洲</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33.7</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-14.9%</w:t>
            </w:r>
          </w:p>
        </w:tc>
      </w:tr>
    </w:tbl>
    <w:p>
      <w:pPr>
        <w:spacing w:before="60"/>
      </w:pPr>
      <w:r>
        <w:rPr>
          <w:rFonts w:ascii="Microsoft YaHei" w:hAnsi="Microsoft YaHei" w:eastAsia="Microsoft YaHei"/>
          <w:b w:val="0"/>
          <w:color w:val="69717E"/>
          <w:sz w:val="16"/>
        </w:rPr>
        <w:t>图表口径：2024年度官方地区分项；2025年区域趋势以EY并购公告或商务部初步非金融类同比另列，不替代官方地区流量。</w:t>
      </w:r>
    </w:p>
    <w:p>
      <w:pPr>
        <w:pStyle w:val="Heading1"/>
        <w:keepNext/>
      </w:pPr>
      <w:r>
        <w:rPr>
          <w:rFonts w:ascii="Microsoft YaHei" w:hAnsi="Microsoft YaHei" w:eastAsia="Microsoft YaHei"/>
          <w:b/>
          <w:color w:val="17264C"/>
          <w:sz w:val="34"/>
        </w:rPr>
        <w:t>三  市场机会与进入方式</w:t>
      </w:r>
    </w:p>
    <w:p>
      <w:pPr>
        <w:spacing w:after="140" w:line="307" w:lineRule="auto"/>
        <w:ind w:firstLine="403"/>
      </w:pPr>
      <w:r>
        <w:rPr>
          <w:rFonts w:ascii="Microsoft YaHei" w:hAnsi="Microsoft YaHei" w:eastAsia="Microsoft YaHei"/>
          <w:b w:val="0"/>
          <w:color w:val="292B30"/>
          <w:sz w:val="20"/>
        </w:rPr>
        <w:t>美国对高端制造、消费品牌、售后服务、物流与本地供应链有吸引力；但投资须考虑联邦及州层面的审查、补贴条件、劳工、土地、环境和行业许可。</w:t>
      </w:r>
    </w:p>
    <w:p>
      <w:pPr>
        <w:spacing w:after="140" w:line="307" w:lineRule="auto"/>
        <w:ind w:firstLine="403"/>
      </w:pPr>
      <w:r>
        <w:rPr>
          <w:rFonts w:ascii="Microsoft YaHei" w:hAnsi="Microsoft YaHei" w:eastAsia="Microsoft YaHei"/>
          <w:b w:val="0"/>
          <w:color w:val="292B30"/>
          <w:sz w:val="20"/>
        </w:rPr>
        <w:t>加拿大在资源、能源、汽车供应链与科技领域有项目机会，交易审查会考虑国家安全、关键矿产和国家利益等因素。</w:t>
      </w:r>
    </w:p>
    <w:p>
      <w:pPr>
        <w:spacing w:after="140" w:line="307" w:lineRule="auto"/>
        <w:ind w:firstLine="403"/>
      </w:pPr>
      <w:r>
        <w:rPr>
          <w:rFonts w:ascii="Microsoft YaHei" w:hAnsi="Microsoft YaHei" w:eastAsia="Microsoft YaHei"/>
          <w:b w:val="0"/>
          <w:color w:val="292B30"/>
          <w:sz w:val="20"/>
        </w:rPr>
        <w:t>北美的关税与原产地安排会改变本地生产的经济性。应核实工厂投入是否足以满足适用规则，不能以“当地组装”概念替代海关原产地分析。</w:t>
      </w:r>
    </w:p>
    <w:p>
      <w:pPr>
        <w:spacing w:after="140" w:line="307" w:lineRule="auto"/>
        <w:ind w:firstLine="403"/>
      </w:pPr>
      <w:r>
        <w:rPr>
          <w:rFonts w:ascii="Microsoft YaHei" w:hAnsi="Microsoft YaHei" w:eastAsia="Microsoft YaHei"/>
          <w:b w:val="0"/>
          <w:color w:val="292B30"/>
          <w:sz w:val="20"/>
        </w:rPr>
        <w:t>成熟渠道的并购可能缩短市场进入时间，但估值、产品责任、经销合同、诉讼、知识产权和既有税务风险必须在交割前查清。</w:t>
      </w:r>
    </w:p>
    <w:p>
      <w:pPr>
        <w:pStyle w:val="Heading1"/>
        <w:keepNext/>
      </w:pPr>
      <w:r>
        <w:rPr>
          <w:rFonts w:ascii="Microsoft YaHei" w:hAnsi="Microsoft YaHei" w:eastAsia="Microsoft YaHei"/>
          <w:b/>
          <w:color w:val="17264C"/>
          <w:sz w:val="34"/>
        </w:rPr>
        <w:t>市场准入、注册资本与园区政策比较</w:t>
      </w:r>
    </w:p>
    <w:p>
      <w:pPr>
        <w:spacing w:after="140" w:line="307" w:lineRule="auto"/>
        <w:ind w:firstLine="403"/>
      </w:pPr>
      <w:r>
        <w:rPr>
          <w:rFonts w:ascii="Microsoft YaHei" w:hAnsi="Microsoft YaHei" w:eastAsia="Microsoft YaHei"/>
          <w:b w:val="0"/>
          <w:color w:val="292B30"/>
          <w:sz w:val="20"/>
        </w:rPr>
        <w:t>下表按本地区代表市场比较外资准入、常见实体资本规则与园区/产业政策。对未设统一公司资本下限的市场，行业许可仍可能规定最低资本、持股比例、实缴期限或本地伙伴要求；激励只适用于经批准且满足持续经营、就业/投资等条件的项目。</w:t>
      </w:r>
    </w:p>
    <w:tbl>
      <w:tblPr>
        <w:tblStyle w:val="TableGrid"/>
        <w:tblW w:type="auto" w:w="0"/>
        <w:jc w:val="center"/>
        <w:tblLayout w:type="autofit"/>
        <w:tblLook w:firstColumn="1" w:firstRow="1" w:lastColumn="0" w:lastRow="0" w:noHBand="0" w:noVBand="1" w:val="04A0"/>
      </w:tblPr>
      <w:tblGrid>
        <w:gridCol w:w="3331"/>
        <w:gridCol w:w="3331"/>
        <w:gridCol w:w="3331"/>
      </w:tblGrid>
      <w:tr>
        <w:trPr>
          <w:tblHeader w:val="true"/>
        </w:trPr>
        <w:tc>
          <w:tcPr>
            <w:tcW w:type="dxa" w:w="3331"/>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国家/地区（共3个）</w:t>
            </w:r>
          </w:p>
        </w:tc>
        <w:tc>
          <w:tcPr>
            <w:tcW w:type="dxa" w:w="3331"/>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持股与资本规则（概要）</w:t>
            </w:r>
          </w:p>
        </w:tc>
        <w:tc>
          <w:tcPr>
            <w:tcW w:type="dxa" w:w="3331"/>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园区与产业政策（概要）</w:t>
            </w:r>
          </w:p>
        </w:tc>
      </w:tr>
      <w:tr>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美国</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公司资本和设立规则由州法决定，通常无联邦统一最低资本；关键技术、数据、基础设施交易可能触发 CFIUS。</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州/地方园区与税收激励因项目谈判而异；须核对就业、资本开支和持续经营条件。</w:t>
            </w:r>
          </w:p>
        </w:tc>
      </w:tr>
      <w:tr>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加拿大</w:t>
            </w:r>
          </w:p>
        </w:tc>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通常无统一公司最低资本。2026年私营WTO投资者直接收购审查门槛为企业价值 CAD 14.52亿；国有投资者为资产价值 CAD 5.78亿，国家安全审查可不受该金额门槛限制。</w:t>
            </w:r>
          </w:p>
        </w:tc>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省级/联邦项目激励按行业、地点、就业及净经济利益审查；新设企业及低于门槛交易仍有通知义务。</w:t>
            </w:r>
          </w:p>
        </w:tc>
      </w:tr>
      <w:tr>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墨西哥</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一般行业允许外资持股，保留领域及限制行业例外；公司资本通常由章程设定。</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IMMEX出口制造企业须符合出口销售额超过 USD 50万，或出口额达到总销售额10%等条件；暂时进口物料/设备并履行申报和库存核销。</w:t>
            </w:r>
          </w:p>
        </w:tc>
      </w:tr>
    </w:tbl>
    <w:p>
      <w:pPr>
        <w:pStyle w:val="Heading1"/>
        <w:keepNext/>
      </w:pPr>
      <w:r>
        <w:rPr>
          <w:rFonts w:ascii="Microsoft YaHei" w:hAnsi="Microsoft YaHei" w:eastAsia="Microsoft YaHei"/>
          <w:b/>
          <w:color w:val="17264C"/>
          <w:sz w:val="34"/>
        </w:rPr>
        <w:t>四  代表性项目观察</w:t>
      </w:r>
    </w:p>
    <w:p>
      <w:pPr>
        <w:spacing w:after="140" w:line="307" w:lineRule="auto"/>
        <w:ind w:firstLine="403"/>
      </w:pPr>
      <w:r>
        <w:rPr>
          <w:rFonts w:ascii="Microsoft YaHei" w:hAnsi="Microsoft YaHei" w:eastAsia="Microsoft YaHei"/>
          <w:b w:val="0"/>
          <w:color w:val="292B30"/>
          <w:sz w:val="20"/>
        </w:rPr>
        <w:t>海尔集团披露，其美国业务 GE Appliances 将在肯塔基州路易斯维尔全球总部投入4.9亿美元建设洗衣机制造设施，计划新增约800个岗位。它是中国母公司通过长期经营的美国业务扩大本地制造的案例，重点是供应链和本地就业承诺，不应与从零新设敏感技术企业混为一谈。</w:t>
      </w:r>
    </w:p>
    <w:p>
      <w:pPr>
        <w:pStyle w:val="Heading2"/>
        <w:keepNext/>
      </w:pPr>
      <w:r>
        <w:rPr>
          <w:rFonts w:ascii="Microsoft YaHei" w:hAnsi="Microsoft YaHei" w:eastAsia="Microsoft YaHei"/>
          <w:b/>
          <w:color w:val="A86B4F"/>
          <w:sz w:val="24"/>
        </w:rPr>
        <w:t>代表项目观察</w:t>
      </w:r>
    </w:p>
    <w:p>
      <w:pPr>
        <w:spacing w:after="140" w:line="307" w:lineRule="auto"/>
        <w:ind w:firstLine="403"/>
      </w:pPr>
      <w:r>
        <w:rPr>
          <w:rFonts w:ascii="Microsoft YaHei" w:hAnsi="Microsoft YaHei" w:eastAsia="Microsoft YaHei"/>
          <w:b w:val="0"/>
          <w:color w:val="292B30"/>
          <w:sz w:val="20"/>
        </w:rPr>
        <w:t>以下项目区分股权投资、建设投资、许可合作与项目规划。金额均按企业或政府公开披露口径记录；未披露的明确标记，规划额不代表已投金额。项目状态以来源公布日期为准，重大交易需再核验最新进展。</w:t>
      </w:r>
    </w:p>
    <w:tbl>
      <w:tblPr>
        <w:tblStyle w:val="TableGrid"/>
        <w:tblW w:type="auto" w:w="0"/>
        <w:jc w:val="center"/>
        <w:tblLayout w:type="autofit"/>
        <w:tblLook w:firstColumn="1" w:firstRow="1" w:lastColumn="0" w:lastRow="0" w:noHBand="0" w:noVBand="1" w:val="04A0"/>
      </w:tblPr>
      <w:tblGrid>
        <w:gridCol w:w="2498"/>
        <w:gridCol w:w="2498"/>
        <w:gridCol w:w="2498"/>
        <w:gridCol w:w="2498"/>
      </w:tblGrid>
      <w:tr>
        <w:trPr>
          <w:tblHeader w:val="true"/>
        </w:trPr>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项目与所在地</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投资方与产业环节</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公开金额与项目阶段</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可核验的投资观察</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美国肯塔基州｜GE Appliances洗衣机工厂</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海尔集团旗下GE Appliances；垂直整合制造</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公司披露投资US$490m，新增约800个岗位，新产线计划2027年投产。</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公告明确生产和就业安排；核验州级激励最终兑现、供应商支出与建线进度。</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美国俄亥俄州｜福耀玻璃汽车玻璃制造与扩产</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福耀玻璃；汽车零部件制造</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福耀多年持续投资并经营既有工厂；近年增资金额分项目公告披露。</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成熟资产扩建案例；区分历史累计投资、当年新增投资与当地子公司资本开支。</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墨西哥｜中资汽车零部件与出口制造项目</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多家企业；零部件/出口制造</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个别项目金额按公司公告核实；本案例不把IMMEX制度或园区招商额算作中资项目金额。</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作为待核实项目池，报告建议优先记录已签客户订单、工厂地址、投资者和建设状态。</w:t>
            </w:r>
          </w:p>
        </w:tc>
      </w:tr>
    </w:tbl>
    <w:p>
      <w:pPr>
        <w:pStyle w:val="Heading1"/>
        <w:keepNext/>
      </w:pPr>
      <w:r>
        <w:rPr>
          <w:rFonts w:ascii="Microsoft YaHei" w:hAnsi="Microsoft YaHei" w:eastAsia="Microsoft YaHei"/>
          <w:b/>
          <w:color w:val="17264C"/>
          <w:sz w:val="34"/>
        </w:rPr>
        <w:t>五  重点合规与执行风险</w:t>
      </w:r>
    </w:p>
    <w:p>
      <w:pPr>
        <w:pStyle w:val="ListBullet"/>
        <w:spacing w:after="80" w:line="283" w:lineRule="auto"/>
        <w:ind w:left="346" w:hanging="202"/>
      </w:pPr>
      <w:r>
        <w:rPr>
          <w:rFonts w:ascii="Microsoft YaHei" w:hAnsi="Microsoft YaHei" w:eastAsia="Microsoft YaHei"/>
          <w:b w:val="0"/>
          <w:color w:val="292B30"/>
          <w:sz w:val="19"/>
        </w:rPr>
        <w:t>投资审查：CFIUS可能审查控制性交易及特定非控制性投资，涉及敏感技术、关键基础设施、敏感个人数据和特定地产等；在交易前进行范围分析，必要时取得当地法律意见。</w:t>
      </w:r>
    </w:p>
    <w:p>
      <w:pPr>
        <w:pStyle w:val="ListBullet"/>
        <w:spacing w:after="80" w:line="283" w:lineRule="auto"/>
        <w:ind w:left="346" w:hanging="202"/>
      </w:pPr>
      <w:r>
        <w:rPr>
          <w:rFonts w:ascii="Microsoft YaHei" w:hAnsi="Microsoft YaHei" w:eastAsia="Microsoft YaHei"/>
          <w:b w:val="0"/>
          <w:color w:val="292B30"/>
          <w:sz w:val="19"/>
        </w:rPr>
        <w:t>美国对华政策和出口管制可能影响设备、软件、技术人员、产品销售和融资；既要评估美国进口规则，也要核对中国侧技术出口、数据与资金要求。</w:t>
      </w:r>
    </w:p>
    <w:p>
      <w:pPr>
        <w:pStyle w:val="ListBullet"/>
        <w:spacing w:after="80" w:line="283" w:lineRule="auto"/>
        <w:ind w:left="346" w:hanging="202"/>
      </w:pPr>
      <w:r>
        <w:rPr>
          <w:rFonts w:ascii="Microsoft YaHei" w:hAnsi="Microsoft YaHei" w:eastAsia="Microsoft YaHei"/>
          <w:b w:val="0"/>
          <w:color w:val="292B30"/>
          <w:sz w:val="19"/>
        </w:rPr>
        <w:t>州和地方激励通常附带投资额、就业、工资、采购或持续经营承诺，需建立合同义务台账，避免事后追回或违约。</w:t>
      </w:r>
    </w:p>
    <w:p>
      <w:pPr>
        <w:pStyle w:val="ListBullet"/>
        <w:spacing w:after="80" w:line="283" w:lineRule="auto"/>
        <w:ind w:left="346" w:hanging="202"/>
      </w:pPr>
      <w:r>
        <w:rPr>
          <w:rFonts w:ascii="Microsoft YaHei" w:hAnsi="Microsoft YaHei" w:eastAsia="Microsoft YaHei"/>
          <w:b w:val="0"/>
          <w:color w:val="292B30"/>
          <w:sz w:val="19"/>
        </w:rPr>
        <w:t>合规边界：不得通过代持、隐瞒控制人或拆分交易规避申报；账户受益人、董事权限、跨境付款与审计轨迹需保持一致。</w:t>
      </w:r>
    </w:p>
    <w:p>
      <w:pPr>
        <w:pStyle w:val="Heading1"/>
        <w:keepNext/>
      </w:pPr>
      <w:r>
        <w:rPr>
          <w:rFonts w:ascii="Microsoft YaHei" w:hAnsi="Microsoft YaHei" w:eastAsia="Microsoft YaHei"/>
          <w:b/>
          <w:color w:val="17264C"/>
          <w:sz w:val="34"/>
        </w:rPr>
        <w:t>六  投资启示</w:t>
      </w:r>
    </w:p>
    <w:p>
      <w:pPr>
        <w:pStyle w:val="ListBullet"/>
        <w:spacing w:after="80" w:line="283" w:lineRule="auto"/>
        <w:ind w:left="346" w:hanging="202"/>
      </w:pPr>
      <w:r>
        <w:rPr>
          <w:rFonts w:ascii="Microsoft YaHei" w:hAnsi="Microsoft YaHei" w:eastAsia="Microsoft YaHei"/>
          <w:b w:val="0"/>
          <w:color w:val="292B30"/>
          <w:sz w:val="19"/>
        </w:rPr>
        <w:t>先按目标客户、供应链、物流、人才、电力/水资源与政策资格设定筛选权重，再在北美代表市场中做同口径比较；园区税惠不能抵消低利用率或物流瓶颈。</w:t>
      </w:r>
    </w:p>
    <w:p>
      <w:pPr>
        <w:pStyle w:val="ListBullet"/>
        <w:spacing w:after="80" w:line="283" w:lineRule="auto"/>
        <w:ind w:left="346" w:hanging="202"/>
      </w:pPr>
      <w:r>
        <w:rPr>
          <w:rFonts w:ascii="Microsoft YaHei" w:hAnsi="Microsoft YaHei" w:eastAsia="Microsoft YaHei"/>
          <w:b w:val="0"/>
          <w:color w:val="292B30"/>
          <w:sz w:val="19"/>
        </w:rPr>
        <w:t>将市场进入拆成销售/服务实体、区域总部、制造/资源项目和控股平台，分别核算资本需求、许可周期、现金流与退出成本。</w:t>
      </w:r>
    </w:p>
    <w:p>
      <w:pPr>
        <w:pStyle w:val="ListBullet"/>
        <w:spacing w:after="80" w:line="283" w:lineRule="auto"/>
        <w:ind w:left="346" w:hanging="202"/>
      </w:pPr>
      <w:r>
        <w:rPr>
          <w:rFonts w:ascii="Microsoft YaHei" w:hAnsi="Microsoft YaHei" w:eastAsia="Microsoft YaHei"/>
          <w:b w:val="0"/>
          <w:color w:val="292B30"/>
          <w:sz w:val="19"/>
        </w:rPr>
        <w:t>采用分阶段承诺：先验证客户订单、许可、土地/厂房、能源和关键供应商，再进入大额固定资产投资；把激励兑现和本地化承诺设为投后监控指标。</w:t>
      </w:r>
    </w:p>
    <w:p>
      <w:pPr>
        <w:pStyle w:val="ListBullet"/>
        <w:spacing w:after="80" w:line="283" w:lineRule="auto"/>
        <w:ind w:left="346" w:hanging="202"/>
      </w:pPr>
      <w:r>
        <w:rPr>
          <w:rFonts w:ascii="Microsoft YaHei" w:hAnsi="Microsoft YaHei" w:eastAsia="Microsoft YaHei"/>
          <w:b w:val="0"/>
          <w:color w:val="292B30"/>
          <w:sz w:val="19"/>
        </w:rPr>
        <w:t>董事会立项时同步批准 ODI 申报路径、股权/债务比例、资本金时间表、境外开户及税务/会计治理，确保批准金额与最终交易、资金流和项目用途相互匹配。</w:t>
      </w:r>
    </w:p>
    <w:p>
      <w:pPr>
        <w:pStyle w:val="Heading1"/>
        <w:keepNext/>
      </w:pPr>
      <w:r>
        <w:rPr>
          <w:rFonts w:ascii="Microsoft YaHei" w:hAnsi="Microsoft YaHei" w:eastAsia="Microsoft YaHei"/>
          <w:b/>
          <w:color w:val="17264C"/>
          <w:sz w:val="34"/>
        </w:rPr>
        <w:t>地区专题1  投资路径与项目结构</w:t>
      </w:r>
    </w:p>
    <w:p>
      <w:pPr>
        <w:spacing w:after="140" w:line="307" w:lineRule="auto"/>
        <w:ind w:firstLine="403"/>
      </w:pPr>
      <w:r>
        <w:rPr>
          <w:rFonts w:ascii="Microsoft YaHei" w:hAnsi="Microsoft YaHei" w:eastAsia="Microsoft YaHei"/>
          <w:b w:val="0"/>
          <w:color w:val="292B30"/>
          <w:sz w:val="20"/>
        </w:rPr>
        <w:t>北美项目应把美国、加拿大和墨西哥分别建模，同时评估跨境供应链的原产地、关税、物流和客户合同。美国公司设立和资本规则主要由州法决定；加拿大交易需辨别审查门槛与国家安全审查；墨西哥则要区分面向国内市场的运营实体与符合条件的出口制造安排。北美区域平台若同时承担销售、售后、制造和采购，应核对各自许可、税务和风险隔离是否相容。</w:t>
      </w:r>
    </w:p>
    <w:p>
      <w:pPr>
        <w:spacing w:after="140" w:line="307" w:lineRule="auto"/>
        <w:ind w:firstLine="403"/>
      </w:pPr>
      <w:r>
        <w:rPr>
          <w:rFonts w:ascii="Microsoft YaHei" w:hAnsi="Microsoft YaHei" w:eastAsia="Microsoft YaHei"/>
          <w:b w:val="0"/>
          <w:color w:val="292B30"/>
          <w:sz w:val="20"/>
        </w:rPr>
        <w:t>投资或并购关键技术、关键基础设施、敏感个人数据及相关资产时，应将国家安全审查作为早期工作流，而不是交割后的补充手续。美国CFIUS、加拿大ICA以及墨西哥行业限制各有范围、时点和信息要求；控制权、少数股权权益、治理权和间接持有都可能影响分析。交易合同要给审批留出时间，并为附加条件或禁止交易设置可执行的应对机制。</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专题决策清单</w:t>
            </w:r>
          </w:p>
        </w:tc>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建议形成的投委会材料</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实体与控制</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说明投资主体、最终受益人、当地董事/授权、业务范围和境内 ODI 备案/核准的一致性。</w:t>
            </w:r>
          </w:p>
        </w:tc>
      </w:tr>
      <w:tr>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资本与资金</w:t>
            </w:r>
          </w:p>
        </w:tc>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区分法定注册资本、最低实缴、项目资本开支和营运资金；写明股权/股东贷款比例、币种与拨付节点。</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合作与退出</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约定合资保留事项、追加出资、技术/采购、僵局、许可变更和退出机制。</w:t>
            </w:r>
          </w:p>
        </w:tc>
      </w:tr>
    </w:tbl>
    <w:p>
      <w:pPr>
        <w:pStyle w:val="Heading1"/>
        <w:keepNext/>
      </w:pPr>
      <w:r>
        <w:rPr>
          <w:rFonts w:ascii="Microsoft YaHei" w:hAnsi="Microsoft YaHei" w:eastAsia="Microsoft YaHei"/>
          <w:b/>
          <w:color w:val="17264C"/>
          <w:sz w:val="34"/>
        </w:rPr>
        <w:t>地区专题2  州/省/园区选址方法</w:t>
      </w:r>
    </w:p>
    <w:p>
      <w:pPr>
        <w:spacing w:after="140" w:line="307" w:lineRule="auto"/>
        <w:ind w:firstLine="403"/>
      </w:pPr>
      <w:r>
        <w:rPr>
          <w:rFonts w:ascii="Microsoft YaHei" w:hAnsi="Microsoft YaHei" w:eastAsia="Microsoft YaHei"/>
          <w:b w:val="0"/>
          <w:color w:val="292B30"/>
          <w:sz w:val="20"/>
        </w:rPr>
        <w:t>制造项目选址要比较客户距离、跨州/省物流、劳动力和技能、能源与水、土地与建设许可、地方税负、工会/劳工环境、园区基础设施及关税路径。墨西哥近岸制造须把口岸通行、供应商本地化、临时进口核销和原产地证明成本纳入选址；美国和加拿大还需比较各州/省激励条件、产业集群和电网容量。</w:t>
      </w:r>
    </w:p>
    <w:p>
      <w:pPr>
        <w:spacing w:after="140" w:line="307" w:lineRule="auto"/>
        <w:ind w:firstLine="403"/>
      </w:pPr>
      <w:r>
        <w:rPr>
          <w:rFonts w:ascii="Microsoft YaHei" w:hAnsi="Microsoft YaHei" w:eastAsia="Microsoft YaHei"/>
          <w:b w:val="0"/>
          <w:color w:val="292B30"/>
          <w:sz w:val="20"/>
        </w:rPr>
        <w:t>地方招商提供的税收抵免、现金补助、培训补贴或土地优惠一般带有就业、工资、资本投入、工期和持续经营要求。企业应要求书面条款，核对申请时间窗、合格支出定义、审计和追回机制，谨慎处理未批准的口头承诺。对数据中心和先进制造，土地、电力、冷却水和许可周期可能比税率差异更影响项目可行性。</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专题决策清单</w:t>
            </w:r>
          </w:p>
        </w:tc>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建议形成的投委会材料</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地块与资格</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留存园区边界/地块权属、活动资格、正式批文、申请先后次序及不可逆支出的书面依据。</w:t>
            </w:r>
          </w:p>
        </w:tc>
      </w:tr>
      <w:tr>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配套与成本</w:t>
            </w:r>
          </w:p>
        </w:tc>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取得能源、水、物流、通关、环保处理和劳工服务的服务承诺，测算隐性收费和接入周期。</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激励与追回</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列清投资额/就业/本地化承诺、优惠期限、申报证据、年度报告及不达标追回责任。</w:t>
            </w:r>
          </w:p>
        </w:tc>
      </w:tr>
    </w:tbl>
    <w:p>
      <w:pPr>
        <w:pStyle w:val="Heading1"/>
        <w:keepNext/>
      </w:pPr>
      <w:r>
        <w:rPr>
          <w:rFonts w:ascii="Microsoft YaHei" w:hAnsi="Microsoft YaHei" w:eastAsia="Microsoft YaHei"/>
          <w:b/>
          <w:color w:val="17264C"/>
          <w:sz w:val="34"/>
        </w:rPr>
        <w:t>地区专题3  贸易与财务情景模型</w:t>
      </w:r>
    </w:p>
    <w:p>
      <w:pPr>
        <w:spacing w:after="140" w:line="307" w:lineRule="auto"/>
        <w:ind w:firstLine="403"/>
      </w:pPr>
      <w:r>
        <w:rPr>
          <w:rFonts w:ascii="Microsoft YaHei" w:hAnsi="Microsoft YaHei" w:eastAsia="Microsoft YaHei"/>
          <w:b w:val="0"/>
          <w:color w:val="292B30"/>
          <w:sz w:val="20"/>
        </w:rPr>
        <w:t>建议构建“本地生产、区域进口、第三国出口”三种路径，逐项计算关税、运输、仓储、库存资金、汇率、原产地合规、客户交期及潜在贸易救济成本。USMCA在2026联合审查前后可能出现规则或执行变化；将现行有效规则与未来可能变化分情景管理，不把任何单一审查结果当作已确定事实。</w:t>
      </w:r>
    </w:p>
    <w:p>
      <w:pPr>
        <w:spacing w:after="140" w:line="307" w:lineRule="auto"/>
        <w:ind w:firstLine="403"/>
      </w:pPr>
      <w:r>
        <w:rPr>
          <w:rFonts w:ascii="Microsoft YaHei" w:hAnsi="Microsoft YaHei" w:eastAsia="Microsoft YaHei"/>
          <w:b w:val="0"/>
          <w:color w:val="292B30"/>
          <w:sz w:val="20"/>
        </w:rPr>
        <w:t>出口制造项目需核对临时进口的货物清单、加工后去向、库存平衡和出口证明；本地销售涉及的税务、产品认证和消费者责任则另立控制流程。海外资本支出按汇率和进口设备价格设置预备金，分阶段签约。母公司需预估当地现金留存、股息汇回、关联服务费和债务偿付安排。</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专题决策清单</w:t>
            </w:r>
          </w:p>
        </w:tc>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建议形成的投委会材料</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收入与成本</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用客户合同/承购、销量、利用率、物流、能源、人工和税费建立基准/下行两套模型。</w:t>
            </w:r>
          </w:p>
        </w:tc>
      </w:tr>
      <w:tr>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资金与汇率</w:t>
            </w:r>
          </w:p>
        </w:tc>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测算汇率、利率、资本管制、应收账款、库存及利润汇回对现金流的影响，设最低现金储备。</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阶段与回报</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分期释放资本，以许可、订单、建设、良率/产能利用率为闸门；量化暂停、扩产和退出阈值。</w:t>
            </w:r>
          </w:p>
        </w:tc>
      </w:tr>
    </w:tbl>
    <w:p>
      <w:pPr>
        <w:pStyle w:val="Heading1"/>
        <w:keepNext/>
      </w:pPr>
      <w:r>
        <w:rPr>
          <w:rFonts w:ascii="Microsoft YaHei" w:hAnsi="Microsoft YaHei" w:eastAsia="Microsoft YaHei"/>
          <w:b/>
          <w:color w:val="17264C"/>
          <w:sz w:val="34"/>
        </w:rPr>
        <w:t>地区专题4  审批闸门与投后监控</w:t>
      </w:r>
    </w:p>
    <w:p>
      <w:pPr>
        <w:spacing w:after="140" w:line="307" w:lineRule="auto"/>
        <w:ind w:firstLine="403"/>
      </w:pPr>
      <w:r>
        <w:rPr>
          <w:rFonts w:ascii="Microsoft YaHei" w:hAnsi="Microsoft YaHei" w:eastAsia="Microsoft YaHei"/>
          <w:b w:val="0"/>
          <w:color w:val="292B30"/>
          <w:sz w:val="20"/>
        </w:rPr>
        <w:t>前置闸门包括交易主体/最终受益人梳理、外资准入判断、国家安全审查筛查、竞争/行业许可、选址和激励书面确认，以及境内 ODI 文件完整性。建设前核查土地与施工许可、环境审查、供电供水和关键设备进口路径；签约时将原产地规则、数据安全、知识产权和供应商中断处理写入合同。</w:t>
      </w:r>
    </w:p>
    <w:p>
      <w:pPr>
        <w:spacing w:after="140" w:line="307" w:lineRule="auto"/>
        <w:ind w:firstLine="403"/>
      </w:pPr>
      <w:r>
        <w:rPr>
          <w:rFonts w:ascii="Microsoft YaHei" w:hAnsi="Microsoft YaHei" w:eastAsia="Microsoft YaHei"/>
          <w:b w:val="0"/>
          <w:color w:val="292B30"/>
          <w:sz w:val="20"/>
        </w:rPr>
        <w:t>投后按月监控产能爬坡、订单覆盖、工时/工资、地方激励履约、进出口记录和库存核销。并购后审阅税务、环境、产品责任、劳工与历史合规；绿地项目监控许可变更、预算超支和当地供应商质量。定期复核国家安全风险、审查承诺及敏感数据/技术访问权限。</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专题决策清单</w:t>
            </w:r>
          </w:p>
        </w:tc>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建议形成的投委会材料</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审批里程碑</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列出主管机关、材料、前置条件、责任人、最长周期和未获批时的合同处理。</w:t>
            </w:r>
          </w:p>
        </w:tc>
      </w:tr>
      <w:tr>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投后指标</w:t>
            </w:r>
          </w:p>
        </w:tc>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跟踪实际出资、预算偏差、就业/本地供应、税惠履约、许可续期、审计意见和合规事件。</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风险预案</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对政策变化、供应链中断、项目延期、汇率冲击和客户流失指定触发点、责任人及替代方案。</w:t>
            </w:r>
          </w:p>
        </w:tc>
      </w:tr>
    </w:tbl>
    <w:p>
      <w:pPr>
        <w:pStyle w:val="Heading1"/>
        <w:keepNext/>
      </w:pPr>
      <w:r>
        <w:rPr>
          <w:rFonts w:ascii="Microsoft YaHei" w:hAnsi="Microsoft YaHei" w:eastAsia="Microsoft YaHei"/>
          <w:b/>
          <w:color w:val="17264C"/>
          <w:sz w:val="34"/>
        </w:rPr>
        <w:t>区域投资流向与市场规模拆解</w:t>
      </w:r>
    </w:p>
    <w:p>
      <w:pPr>
        <w:spacing w:after="140" w:line="307" w:lineRule="auto"/>
        <w:ind w:firstLine="403"/>
      </w:pPr>
      <w:r>
        <w:rPr>
          <w:rFonts w:ascii="Microsoft YaHei" w:hAnsi="Microsoft YaHei" w:eastAsia="Microsoft YaHei"/>
          <w:b w:val="0"/>
          <w:color w:val="292B30"/>
          <w:sz w:val="20"/>
        </w:rPr>
        <w:t>区域判断优先使用直接投资流量、投资存量和项目/并购公告三类指标。官方区域非金融ODI增速与EY公告并购数据库覆盖不同项目且统计时点不同，不能相加。国家/地区比较只使用本册列出的市场；在缺少一致统计时，明确标注“无同口径公开值”，不以贸易额代替投资额。</w:t>
      </w:r>
    </w:p>
    <w:tbl>
      <w:tblPr>
        <w:tblStyle w:val="TableGrid"/>
        <w:tblW w:type="auto" w:w="0"/>
        <w:jc w:val="center"/>
        <w:tblLayout w:type="autofit"/>
        <w:tblLook w:firstColumn="1" w:firstRow="1" w:lastColumn="0" w:lastRow="0" w:noHBand="0" w:noVBand="1" w:val="04A0"/>
      </w:tblPr>
      <w:tblGrid>
        <w:gridCol w:w="2498"/>
        <w:gridCol w:w="2498"/>
        <w:gridCol w:w="2498"/>
        <w:gridCol w:w="2498"/>
      </w:tblGrid>
      <w:tr>
        <w:trPr>
          <w:tblHeader w:val="true"/>
        </w:trPr>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指标/市场</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公开数据</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统计范围与阶段</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对投资决策的含义</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北美洲并购</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2025年公告额64亿美元；同比约+291%</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EY公告并购口径</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低基数和少数大型交易放大增幅</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美国扩产</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GE Appliances公告4.9亿美元投资</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企业公告；2027年新线计划投产</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跟踪实际资本开支和就业条件</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加拿大审查</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2026门槛依交易主体及行业变化</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ICA/国家安全审查并行</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不以金额门槛排除国家安全审查</w:t>
            </w:r>
          </w:p>
        </w:tc>
      </w:tr>
    </w:tbl>
    <w:p>
      <w:pPr>
        <w:spacing w:after="140" w:line="307" w:lineRule="auto"/>
        <w:ind w:firstLine="403"/>
      </w:pPr>
      <w:r>
        <w:rPr>
          <w:rFonts w:ascii="Microsoft YaHei" w:hAnsi="Microsoft YaHei" w:eastAsia="Microsoft YaHei"/>
          <w:b w:val="0"/>
          <w:color w:val="292B30"/>
          <w:sz w:val="20"/>
        </w:rPr>
        <w:t>地区投资结论应以企业层面的订单、资产和项目审批复核：先确认目的地国别和实际运营地点，再检查同一交易是否已在直接投资、并购公告或EPC合同中被重复统计。对于本地市场规模，使用GDP、贸易额、港口吞吐等代理变量时，应明确其只反映需求或通道条件，不是中资投资金额。</w:t>
      </w:r>
    </w:p>
    <w:p>
      <w:pPr>
        <w:pStyle w:val="Heading1"/>
        <w:keepNext/>
      </w:pPr>
      <w:r>
        <w:rPr>
          <w:rFonts w:ascii="Microsoft YaHei" w:hAnsi="Microsoft YaHei" w:eastAsia="Microsoft YaHei"/>
          <w:b/>
          <w:color w:val="17264C"/>
          <w:sz w:val="34"/>
        </w:rPr>
        <w:t>国家筛选后的投前决策闸门</w:t>
      </w:r>
    </w:p>
    <w:p>
      <w:pPr>
        <w:spacing w:after="140" w:line="307" w:lineRule="auto"/>
        <w:ind w:firstLine="403"/>
      </w:pPr>
      <w:r>
        <w:rPr>
          <w:rFonts w:ascii="Microsoft YaHei" w:hAnsi="Microsoft YaHei" w:eastAsia="Microsoft YaHei"/>
          <w:b w:val="0"/>
          <w:color w:val="292B30"/>
          <w:sz w:val="20"/>
        </w:rPr>
        <w:t>将市场比较转为投委会可执行的决策条件。下表列出各市场最应先取得的证据；任何关键股权许可、土地/资源权、客户订单或资金回流条件未确认时，应暂缓不可逆资本开支。</w:t>
      </w:r>
    </w:p>
    <w:tbl>
      <w:tblPr>
        <w:tblStyle w:val="TableGrid"/>
        <w:tblW w:type="auto" w:w="0"/>
        <w:jc w:val="center"/>
        <w:tblLayout w:type="autofit"/>
        <w:tblLook w:firstColumn="1" w:firstRow="1" w:lastColumn="0" w:lastRow="0" w:noHBand="0" w:noVBand="1" w:val="04A0"/>
      </w:tblPr>
      <w:tblGrid>
        <w:gridCol w:w="3331"/>
        <w:gridCol w:w="3331"/>
        <w:gridCol w:w="3331"/>
      </w:tblGrid>
      <w:tr>
        <w:trPr>
          <w:tblHeader w:val="true"/>
        </w:trPr>
        <w:tc>
          <w:tcPr>
            <w:tcW w:type="dxa" w:w="3331"/>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国家/地区</w:t>
            </w:r>
          </w:p>
        </w:tc>
        <w:tc>
          <w:tcPr>
            <w:tcW w:type="dxa" w:w="3331"/>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适配投资方向</w:t>
            </w:r>
          </w:p>
        </w:tc>
        <w:tc>
          <w:tcPr>
            <w:tcW w:type="dxa" w:w="3331"/>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进入下一阶段前需要的项目证据</w:t>
            </w:r>
          </w:p>
        </w:tc>
      </w:tr>
      <w:tr>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美国</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品牌/服务/制造扩建</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逐项筛查CFIUS、土地/数据/关键技术；以客户承诺和州级激励净收益做扩产决策。</w:t>
            </w:r>
          </w:p>
        </w:tc>
      </w:tr>
      <w:tr>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加拿大</w:t>
            </w:r>
          </w:p>
        </w:tc>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资源/电池/汽车供应链</w:t>
            </w:r>
          </w:p>
        </w:tc>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同时评估ICA净利益审查与国家安全审查、矿权、原住民协商和省级电力。</w:t>
            </w:r>
          </w:p>
        </w:tc>
      </w:tr>
      <w:tr>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墨西哥</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近岸制造/出口</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验证IMMEX资格、USMCA原产地、州级能源水资源、海关库存和劳工义务。</w:t>
            </w:r>
          </w:p>
        </w:tc>
      </w:tr>
    </w:tbl>
    <w:p>
      <w:pPr>
        <w:pStyle w:val="Heading1"/>
        <w:keepNext/>
      </w:pPr>
      <w:r>
        <w:rPr>
          <w:rFonts w:ascii="Microsoft YaHei" w:hAnsi="Microsoft YaHei" w:eastAsia="Microsoft YaHei"/>
          <w:b/>
          <w:color w:val="17264C"/>
          <w:sz w:val="34"/>
        </w:rPr>
        <w:t>七  建议的 90 天工作顺序</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阶段</w:t>
            </w:r>
          </w:p>
        </w:tc>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建议动作</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第 1 阶段</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0—30天：完成红旗筛查：行业、资产、数据、土地、控制权、原产地和州激励。</w:t>
            </w:r>
          </w:p>
        </w:tc>
      </w:tr>
      <w:tr>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第 2 阶段</w:t>
            </w:r>
          </w:p>
        </w:tc>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30—60天：在签署约束性交易前取得当地法律与税务判断，制作交易路径、申报节点和应急退出条款。</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第 3 阶段</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60—90天：设立后的银行授权、内部控制、工资税/销售税申报、当地会计账簿与集团报表对接。</w:t>
            </w:r>
          </w:p>
        </w:tc>
      </w:tr>
    </w:tbl>
    <w:p>
      <w:pPr>
        <w:pStyle w:val="Heading1"/>
        <w:keepNext/>
      </w:pPr>
      <w:r>
        <w:rPr>
          <w:rFonts w:ascii="Microsoft YaHei" w:hAnsi="Microsoft YaHei" w:eastAsia="Microsoft YaHei"/>
          <w:b/>
          <w:color w:val="17264C"/>
          <w:sz w:val="34"/>
        </w:rPr>
        <w:t>研究说明与资料来源</w:t>
      </w:r>
    </w:p>
    <w:p>
      <w:pPr>
        <w:spacing w:after="140" w:line="307" w:lineRule="auto"/>
        <w:ind w:firstLine="403"/>
      </w:pPr>
      <w:r>
        <w:rPr>
          <w:rFonts w:ascii="Microsoft YaHei" w:hAnsi="Microsoft YaHei" w:eastAsia="Microsoft YaHei"/>
          <w:b w:val="0"/>
          <w:color w:val="292B30"/>
          <w:sz w:val="20"/>
        </w:rPr>
        <w:t>统计口径说明：全行业 ODI 与非金融类 ODI 不能直接互换；人民币和美元同比受汇率及统计修订影响；并购公告金额可能含未交割交易；不同机构数据库对交易对象、宣布时间、完成状态和目的地归属采用不同规则。本报告在相关指标处注明口径，重大投资或法规决策应基于项目事实重新核验。</w:t>
      </w:r>
    </w:p>
    <w:p>
      <w:pPr>
        <w:pStyle w:val="Heading1"/>
        <w:keepNext/>
      </w:pPr>
      <w:r>
        <w:rPr>
          <w:rFonts w:ascii="Microsoft YaHei" w:hAnsi="Microsoft YaHei" w:eastAsia="Microsoft YaHei"/>
          <w:b/>
          <w:color w:val="17264C"/>
          <w:sz w:val="34"/>
        </w:rPr>
        <w:t>附录  中国对外直接投资长期流量序列</w:t>
      </w:r>
    </w:p>
    <w:p>
      <w:pPr>
        <w:spacing w:after="140" w:line="307" w:lineRule="auto"/>
        <w:ind w:firstLine="403"/>
      </w:pPr>
      <w:r>
        <w:rPr>
          <w:rFonts w:ascii="Microsoft YaHei" w:hAnsi="Microsoft YaHei" w:eastAsia="Microsoft YaHei"/>
          <w:b w:val="0"/>
          <w:color w:val="292B30"/>
          <w:sz w:val="20"/>
        </w:rPr>
        <w:t>为观察长期趋势，本表采用商务部统计公报发布的2006—2024年年度序列，并补入2025年最终公报数据。单位为亿美元。2006年以前的早期数据统计范围与全行业 ODI 不完全一致，故不与本序列拼接。</w:t>
      </w:r>
    </w:p>
    <w:tbl>
      <w:tblPr>
        <w:tblStyle w:val="TableGrid"/>
        <w:tblW w:type="auto" w:w="0"/>
        <w:jc w:val="center"/>
        <w:tblLayout w:type="autofit"/>
        <w:tblLook w:firstColumn="1" w:firstRow="1" w:lastColumn="0" w:lastRow="0" w:noHBand="0" w:noVBand="1" w:val="04A0"/>
      </w:tblPr>
      <w:tblGrid>
        <w:gridCol w:w="2498"/>
        <w:gridCol w:w="2498"/>
        <w:gridCol w:w="2498"/>
        <w:gridCol w:w="2498"/>
      </w:tblGrid>
      <w:tr>
        <w:trPr>
          <w:tblHeader w:val="true"/>
        </w:trPr>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年份</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流量（亿美元）</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年份</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流量（亿美元）</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2006</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211.6</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2016</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1,961.5</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2007</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265.1</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2017</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1,582.9</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2008</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559.1</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2018</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1,430.4</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2009</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565.3</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2019</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1,369.1</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2010</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688.1</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2020</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1,537.1</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2011</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746.5</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2021</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1,788.2</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2012</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878.0</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2022</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1,631.2</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2013</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1,078.4</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2023</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1,772.9</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2014</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1,231.2</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2024</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1,922.0</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2015</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1,456.7</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2025</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2,135.8</w:t>
            </w:r>
          </w:p>
        </w:tc>
      </w:tr>
    </w:tbl>
    <w:tbl>
      <w:tblPr>
        <w:tblW w:type="auto" w:w="0"/>
        <w:jc w:val="center"/>
        <w:tblLook w:firstColumn="1" w:firstRow="1" w:lastColumn="0" w:lastRow="0" w:noHBand="0" w:noVBand="1" w:val="04A0"/>
      </w:tblPr>
      <w:tblGrid>
        <w:gridCol w:w="9994"/>
      </w:tblGrid>
      <w:tr>
        <w:tc>
          <w:tcPr>
            <w:tcW w:type="dxa" w:w="9994"/>
            <w:shd w:fill="FFF2EC"/>
            <w:tcMar>
              <w:top w:w="160" w:type="dxa"/>
              <w:start w:w="200" w:type="dxa"/>
              <w:bottom w:w="160" w:type="dxa"/>
              <w:end w:w="200" w:type="dxa"/>
            </w:tcMar>
          </w:tcPr>
          <w:p>
            <w:pPr>
              <w:spacing w:after="60"/>
            </w:pPr>
            <w:r/>
            <w:r>
              <w:rPr>
                <w:rFonts w:ascii="Microsoft YaHei" w:hAnsi="Microsoft YaHei" w:eastAsia="Microsoft YaHei"/>
                <w:b/>
                <w:color w:val="E9562B"/>
                <w:sz w:val="18"/>
              </w:rPr>
              <w:t>趋势解读</w:t>
            </w:r>
          </w:p>
          <w:p>
            <w:pPr>
              <w:spacing w:after="0" w:line="288" w:lineRule="auto"/>
            </w:pPr>
            <w:r>
              <w:rPr>
                <w:rFonts w:ascii="Microsoft YaHei" w:hAnsi="Microsoft YaHei" w:eastAsia="Microsoft YaHei"/>
                <w:b w:val="0"/>
                <w:color w:val="292B30"/>
                <w:sz w:val="20"/>
              </w:rPr>
              <w:t>2025年为最终统计公报发布值，2135.8亿美元；它比2024年最终公布值1922.0亿美元高11.1%。不同年度公报可能修订历史分项，跨年分析应以同一版本序列为基础。</w:t>
            </w:r>
          </w:p>
        </w:tc>
      </w:tr>
    </w:tbl>
    <w:p>
      <w:pPr>
        <w:spacing w:after="60"/>
        <w:ind w:left="317" w:hanging="317"/>
      </w:pPr>
      <w:r>
        <w:rPr>
          <w:rFonts w:ascii="Microsoft YaHei" w:hAnsi="Microsoft YaHei" w:eastAsia="Microsoft YaHei"/>
          <w:b w:val="0"/>
          <w:color w:val="292B30"/>
          <w:sz w:val="17"/>
        </w:rPr>
        <w:t xml:space="preserve">[1] 商务部等《2025年度中国对外直接投资统计公报》  </w:t>
      </w:r>
      <w:hyperlink r:id="rId12">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[2] 商务部等《2024年度中国对外直接投资统计公报》  </w:t>
      </w:r>
      <w:hyperlink r:id="rId13">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[3] 商务部等《2024年度中国对外直接投资统计公报》附表  </w:t>
      </w:r>
      <w:hyperlink r:id="rId14">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[4] EY《2025年中国海外投资概览》  </w:t>
      </w:r>
      <w:hyperlink r:id="rId15">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[5] U.S. Treasury CFIUS reports and tables  </w:t>
      </w:r>
      <w:hyperlink r:id="rId16">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[6] 海尔集团：GE Appliances肯塔基州制造投资  </w:t>
      </w:r>
      <w:hyperlink r:id="rId17">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[7] 商务部《2025年我国对外非金融类直接投资简明统计》  </w:t>
      </w:r>
      <w:hyperlink r:id="rId18">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[8] 商务部《2025年对外非金融类直接投资行业统计表》  </w:t>
      </w:r>
      <w:hyperlink r:id="rId19">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[9] EY《2025年中国海外投资概览》及地区并购数据  </w:t>
      </w:r>
      <w:hyperlink r:id="rId15">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[10] 海尔集团：GE Appliances肯塔基州4.9亿美元洗衣机工厂投资  </w:t>
      </w:r>
      <w:hyperlink r:id="rId17">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[11] Lenovo：北卡罗来纳州Whitsett服务器制造扩建公告  </w:t>
      </w:r>
      <w:hyperlink r:id="rId20">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[12] 福耀玻璃：美国生产基地与北美业务介绍  </w:t>
      </w:r>
      <w:hyperlink r:id="rId21">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[13] 加拿大创新、科学与经济发展部《ICA年度报告与审查门槛》  </w:t>
      </w:r>
      <w:hyperlink r:id="rId22">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[14] 加拿大创新、科学与经济发展部：2026年《加拿大投资法》审查门槛  </w:t>
      </w:r>
      <w:hyperlink r:id="rId23">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[15] 墨西哥经济部 IMMEX 出口制造计划  </w:t>
      </w:r>
      <w:hyperlink r:id="rId24">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[16] 商务部等《2024年度中国对外直接投资统计公报》历史流量图表  </w:t>
      </w:r>
      <w:hyperlink r:id="rId25">
        <w:r>
          <w:rPr>
            <w:color w:val="E9562B"/>
            <w:u w:val="single"/>
          </w:rPr>
          <w:t>查看原文</w:t>
        </w:r>
      </w:hyperlink>
    </w:p>
    <w:p>
      <w:pPr>
        <w:pStyle w:val="Heading1"/>
        <w:keepNext/>
      </w:pPr>
      <w:r>
        <w:rPr>
          <w:rFonts w:ascii="Microsoft YaHei" w:hAnsi="Microsoft YaHei" w:eastAsia="Microsoft YaHei"/>
          <w:b/>
          <w:color w:val="17264C"/>
          <w:sz w:val="34"/>
        </w:rPr>
        <w:t>投资委员会初筛评分卡</w:t>
      </w:r>
    </w:p>
    <w:p>
      <w:pPr>
        <w:spacing w:after="140" w:line="307" w:lineRule="auto"/>
        <w:ind w:firstLine="403"/>
      </w:pPr>
      <w:r>
        <w:rPr>
          <w:rFonts w:ascii="Microsoft YaHei" w:hAnsi="Microsoft YaHei" w:eastAsia="Microsoft YaHei"/>
          <w:b w:val="0"/>
          <w:color w:val="292B30"/>
          <w:sz w:val="20"/>
        </w:rPr>
        <w:t>建议项目组在国家/地区初筛后，由业务、财务、法务合规和运营共同评分。权重和阈值是本报告提供的讨论模板，可按企业风险偏好调整；它们不是东道国法定标准，也不能替代尽职调查。每项按1—5分评分，5分代表证据充分且风险可控。</w:t>
      </w:r>
    </w:p>
    <w:tbl>
      <w:tblPr>
        <w:tblStyle w:val="TableGrid"/>
        <w:tblW w:type="auto" w:w="0"/>
        <w:jc w:val="center"/>
        <w:tblLayout w:type="autofit"/>
        <w:tblLook w:firstColumn="1" w:firstRow="1" w:lastColumn="0" w:lastRow="0" w:noHBand="0" w:noVBand="1" w:val="04A0"/>
      </w:tblPr>
      <w:tblGrid>
        <w:gridCol w:w="2498"/>
        <w:gridCol w:w="2498"/>
        <w:gridCol w:w="2498"/>
        <w:gridCol w:w="2498"/>
      </w:tblGrid>
      <w:tr>
        <w:trPr>
          <w:tblHeader w:val="true"/>
        </w:trPr>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评分维度</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权重</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评分依据</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项目评分（1—5）</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市场需求与客户覆盖</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订单/客户访谈、市场规模、竞品和收入币种</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____</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准入与许可可执行性</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15%</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外资股比、资本/实缴、行业许可和审批周期</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____</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园区与激励可获得性</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10%</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地块资格、活动清单、正式批文与履约条件</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____</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供应链与生产要素</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15%</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供应商、能源、水、物流、人才和基础设施</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____</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风险调整后回报</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基准/下行情景、资本成本、汇率及回收期</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____</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治理、韧性与退出</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伙伴治理、资金回流、审计、停产/退出方案</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____</w:t>
            </w:r>
          </w:p>
        </w:tc>
      </w:tr>
    </w:tbl>
    <w:p>
      <w:pPr>
        <w:spacing w:after="140" w:line="307" w:lineRule="auto"/>
        <w:ind w:firstLine="403"/>
      </w:pPr>
      <w:r>
        <w:rPr>
          <w:rFonts w:ascii="Microsoft YaHei" w:hAnsi="Microsoft YaHei" w:eastAsia="Microsoft YaHei"/>
          <w:b w:val="0"/>
          <w:color w:val="292B30"/>
          <w:sz w:val="20"/>
        </w:rPr>
        <w:t>计算建议：加权得分＝Σ（单项评分×权重）÷5。可将低于60分设为暂缓，60—75分进入补充尽调，高于75分提交正式立项审议；若外资准入、关键许可、土地权属或资金来源存在未解决的否决性问题，不因总分较高而跳过先决条件。</w:t>
      </w:r>
    </w:p>
    <w:tbl>
      <w:tblPr>
        <w:tblW w:type="auto" w:w="0"/>
        <w:jc w:val="center"/>
        <w:tblLook w:firstColumn="1" w:firstRow="1" w:lastColumn="0" w:lastRow="0" w:noHBand="0" w:noVBand="1" w:val="04A0"/>
      </w:tblPr>
      <w:tblGrid>
        <w:gridCol w:w="9994"/>
      </w:tblGrid>
      <w:tr>
        <w:tc>
          <w:tcPr>
            <w:tcW w:type="dxa" w:w="9994"/>
            <w:shd w:fill="F3F5F8"/>
            <w:tcMar>
              <w:top w:w="160" w:type="dxa"/>
              <w:start w:w="200" w:type="dxa"/>
              <w:bottom w:w="160" w:type="dxa"/>
              <w:end w:w="200" w:type="dxa"/>
            </w:tcMar>
          </w:tcPr>
          <w:p>
            <w:pPr>
              <w:spacing w:after="60"/>
            </w:pPr>
            <w:r/>
            <w:r>
              <w:rPr>
                <w:rFonts w:ascii="Microsoft YaHei" w:hAnsi="Microsoft YaHei" w:eastAsia="Microsoft YaHei"/>
                <w:b/>
                <w:color w:val="E9562B"/>
                <w:sz w:val="18"/>
              </w:rPr>
              <w:t>投资决策使用提示</w:t>
            </w:r>
          </w:p>
          <w:p>
            <w:pPr>
              <w:spacing w:after="0" w:line="288" w:lineRule="auto"/>
            </w:pPr>
            <w:r>
              <w:rPr>
                <w:rFonts w:ascii="Microsoft YaHei" w:hAnsi="Microsoft YaHei" w:eastAsia="Microsoft YaHei"/>
                <w:b w:val="0"/>
                <w:color w:val="292B30"/>
                <w:sz w:val="20"/>
              </w:rPr>
              <w:t>本报告用于形成市场初筛和尽调议题清单，不构成法律、税务、审计或投资建议。涉及持股比例、最低资本、实缴期限、园区激励和行业许可的具体项目，应以投资地主管机关最新正式规则及书面批准为准。</w:t>
            </w:r>
          </w:p>
        </w:tc>
      </w:tr>
    </w:tbl>
    <w:sectPr w:rsidR="00FC693F" w:rsidRPr="0006063C" w:rsidSect="00034616">
      <w:headerReference w:type="default" r:id="rId9"/>
      <w:footerReference w:type="default" r:id="rId10"/>
      <w:pgSz w:w="12240" w:h="15840"/>
      <w:pgMar w:top="1037" w:right="1123" w:bottom="1037" w:left="1123" w:header="432" w:footer="461"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Microsoft YaHei" w:hAnsi="Microsoft YaHei" w:eastAsia="Microsoft YaHei"/>
        <w:b w:val="0"/>
        <w:color w:val="69717E"/>
        <w:sz w:val="16"/>
      </w:rPr>
      <w:t xml:space="preserve">上海乾桥禾融企业咨询有限公司  ·  2026年10月22日  ·  </w:t>
    </w:r>
    <w:r>
      <w:rPr>
        <w:rFonts w:ascii="Microsoft YaHei" w:hAnsi="Microsoft YaHei" w:eastAsia="Microsoft YaHei"/>
        <w:b w:val="0"/>
        <w:color w:val="69717E"/>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Microsoft YaHei" w:hAnsi="Microsoft YaHei" w:eastAsia="Microsoft YaHei"/>
        <w:b/>
        <w:color w:val="17264C"/>
        <w:sz w:val="16"/>
      </w:rPr>
      <w:t>乾桥禾融  |  企业出海研究系列</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Microsoft YaHei" w:hAnsi="Microsoft YaHei" w:eastAsia="Microsoft YaHei"/>
      <w:color w:val="292B3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Microsoft YaHei" w:hAnsi="Microsoft YaHei" w:eastAsia="Microsoft YaHei"/>
      <w:b/>
      <w:bCs/>
      <w:color w:val="17264C"/>
      <w:sz w:val="34"/>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Microsoft YaHei" w:hAnsi="Microsoft YaHei" w:eastAsia="Microsoft YaHei"/>
      <w:b/>
      <w:bCs/>
      <w:color w:val="A86B4F"/>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Microsoft YaHei" w:hAnsi="Microsoft YaHei" w:eastAsia="Microsoft YaHei"/>
      <w:b/>
      <w:bCs/>
      <w:color w:val="E9562B"/>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www.mofcom.gov.cn/zfxxgk/gkml/art/2026/art_5135ff712b8f4bdc804374d2d29ff9f0.html" TargetMode="External"/><Relationship Id="rId13" Type="http://schemas.openxmlformats.org/officeDocument/2006/relationships/hyperlink" Target="https://www.gov.cn/lianbo/bumen/202509/P020250908508134967854.pdf" TargetMode="External"/><Relationship Id="rId14" Type="http://schemas.openxmlformats.org/officeDocument/2006/relationships/hyperlink" Target="https://images.mofcom.gov.cn/fec/202509/20250908141021122.pdf" TargetMode="External"/><Relationship Id="rId15" Type="http://schemas.openxmlformats.org/officeDocument/2006/relationships/hyperlink" Target="https://www.ey.com/zh_cn/newsroom/2026/02/ey-releases-the-overview-of-china-outbound-investment-of-2025" TargetMode="External"/><Relationship Id="rId16" Type="http://schemas.openxmlformats.org/officeDocument/2006/relationships/hyperlink" Target="https://cfius.gov/resources/reports-and-tables/" TargetMode="External"/><Relationship Id="rId17" Type="http://schemas.openxmlformats.org/officeDocument/2006/relationships/hyperlink" Target="https://www.haier.com/global/press-events/news/20250627_266217.shtml" TargetMode="External"/><Relationship Id="rId18" Type="http://schemas.openxmlformats.org/officeDocument/2006/relationships/hyperlink" Target="https://www.mofcom.gov.cn/zfxxgk/fdzdgknr/ztfl/tjsj/gwjjhztj/art/2026/art_708927a77336454da43ef9b9af84e06f.html" TargetMode="External"/><Relationship Id="rId19" Type="http://schemas.openxmlformats.org/officeDocument/2006/relationships/hyperlink" Target="https://fec.mofcom.gov.cn/article/zyfw/hybg/qtbg/202602/3959.html" TargetMode="External"/><Relationship Id="rId20" Type="http://schemas.openxmlformats.org/officeDocument/2006/relationships/hyperlink" Target="https://ebs.publicnow.com/view/DA7E1F4C846859E0F1517B209AF6F7955BCB2340" TargetMode="External"/><Relationship Id="rId21" Type="http://schemas.openxmlformats.org/officeDocument/2006/relationships/hyperlink" Target="https://www.fuyaogroup.com/en/GlobalLayout/america" TargetMode="External"/><Relationship Id="rId22" Type="http://schemas.openxmlformats.org/officeDocument/2006/relationships/hyperlink" Target="https://ised-isde.canada.ca/site/investment-canada-act/en/investment-canada-act/annual-report-investment-canada-act" TargetMode="External"/><Relationship Id="rId23" Type="http://schemas.openxmlformats.org/officeDocument/2006/relationships/hyperlink" Target="https://ised-isde.canada.ca/site/investment-canada-act/en/investment-canada-act/thresholds" TargetMode="External"/><Relationship Id="rId24" Type="http://schemas.openxmlformats.org/officeDocument/2006/relationships/hyperlink" Target="https://www.gob.mx/se/acciones-y-programas/industria-manufacturera-maquiladora-y-de-servicios-de-exportacion-immex" TargetMode="External"/><Relationship Id="rId25" Type="http://schemas.openxmlformats.org/officeDocument/2006/relationships/hyperlink" Target="https://www.mofcom.gov.cn/cms_files/filemanager/1077459795/attach/20255/b62b8a78eadd4f92898d27286fd5209b.pdf?fileName=2024%E5%B9%B4%E4%B8%AD%E5%9B%BD%E5%AF%B9%E5%A4%96%E7%9B%B4%E6%8E%A5%E6%8A%95%E8%B5%84%E7%BB%9F%E8%AE%A1%E5%85%AC%E6%8A%A5-%E4%B8%AD%E6%96%87%E9%83%A8%E5%88%8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中国企业北美投资白皮书</dc:title>
  <dc:subject>中国企业海外直接投资与经营布局</dc:subject>
  <dc:creator>上海乾桥禾融企业咨询有限公司</dc:creator>
  <cp:keywords>ODI, 出海, 境外投资, 乾桥禾融</cp:keywords>
  <dc:description>generated by python-docx</dc:description>
  <cp:lastModifiedBy/>
  <cp:revision>1</cp:revision>
  <dcterms:created xsi:type="dcterms:W3CDTF">2013-12-23T23:15:00Z</dcterms:created>
  <dcterms:modified xsi:type="dcterms:W3CDTF">2013-12-23T23:15:00Z</dcterms:modified>
  <cp:category/>
</cp:coreProperties>
</file>