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before="40" w:after="480"/>
      </w:pPr>
      <w:r>
        <w:drawing>
          <wp:inline xmlns:a="http://schemas.openxmlformats.org/drawingml/2006/main" xmlns:pic="http://schemas.openxmlformats.org/drawingml/2006/picture">
            <wp:extent cx="475488" cy="4754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anqiao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47548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Microsoft YaHei" w:hAnsi="Microsoft YaHei" w:eastAsia="Microsoft YaHei"/>
          <w:b/>
          <w:color w:val="17264C"/>
          <w:sz w:val="18"/>
        </w:rPr>
        <w:t xml:space="preserve">   乾桥禾融研究系列  |  上海乾桥禾融企业咨询有限公司</w:t>
      </w:r>
    </w:p>
    <w:p>
      <w:pPr>
        <w:spacing w:before="80" w:after="160"/>
      </w:pPr>
      <w:r>
        <w:rPr>
          <w:rFonts w:ascii="Microsoft YaHei" w:hAnsi="Microsoft YaHei" w:eastAsia="Microsoft YaHei"/>
          <w:b/>
          <w:color w:val="E9562B"/>
          <w:sz w:val="17"/>
        </w:rPr>
        <w:t>QIANQIAO INSIGHT   /   地区研究   /   2026</w:t>
      </w:r>
    </w:p>
    <w:p>
      <w:pPr>
        <w:keepNext/>
        <w:keepLines/>
        <w:spacing w:before="40" w:after="160" w:line="259" w:lineRule="auto"/>
      </w:pPr>
      <w:r>
        <w:rPr>
          <w:rFonts w:ascii="Microsoft YaHei" w:hAnsi="Microsoft YaHei" w:eastAsia="Microsoft YaHei"/>
          <w:b/>
          <w:color w:val="17264C"/>
          <w:sz w:val="64"/>
        </w:rPr>
        <w:t>中国企业东南亚投资白皮书</w:t>
      </w:r>
    </w:p>
    <w:p>
      <w:pPr>
        <w:keepNext/>
        <w:spacing w:after="220"/>
        <w:pBdr>
          <w:bottom w:val="single" w:sz="20" w:space="8" w:color="E9562B"/>
        </w:pBdr>
      </w:pPr>
      <w:r>
        <w:rPr>
          <w:rFonts w:ascii="Microsoft YaHei" w:hAnsi="Microsoft YaHei" w:eastAsia="Microsoft YaHei"/>
          <w:b w:val="0"/>
          <w:color w:val="A86B4F"/>
          <w:sz w:val="28"/>
        </w:rPr>
        <w:t>供应链区域化与市场本地化的双轮布局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90" w:type="dxa"/>
              <w:start w:w="220" w:type="dxa"/>
              <w:bottom w:w="190" w:type="dxa"/>
              <w:end w:w="220" w:type="dxa"/>
            </w:tcMar>
          </w:tcPr>
          <w:p>
            <w:pPr>
              <w:spacing w:after="10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研究要点</w:t>
            </w:r>
          </w:p>
          <w:p>
            <w:pPr>
              <w:spacing w:after="0" w:line="295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1"/>
              </w:rPr>
              <w:t>东南亚仍是中国企业布局海外经营网络、制造基地与区域总部的核心目的地。判断投资质量不能只看区位和成本：本地供应链、贸易规则、牌照、税务、外汇和治理结构需要在立项时一并设计。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343.6亿美元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2024年中国对东盟投资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+36.8%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2135.8亿美元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2025年中国全行业 ODI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+11.1%</w:t>
            </w:r>
          </w:p>
        </w:tc>
        <w:tc>
          <w:tcPr>
            <w:tcW w:type="dxa" w:w="2995"/>
            <w:shd w:fill="F3F5F8"/>
            <w:tcMar>
              <w:top w:w="180" w:type="dxa"/>
              <w:start w:w="150" w:type="dxa"/>
              <w:bottom w:w="180" w:type="dxa"/>
              <w:end w:w="150" w:type="dxa"/>
            </w:tcMar>
          </w:tcPr>
          <w:p>
            <w:pPr>
              <w:spacing w:after="6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7264C"/>
                <w:sz w:val="30"/>
              </w:rPr>
              <w:t>2439亿美元</w:t>
            </w:r>
          </w:p>
          <w:p>
            <w:pPr>
              <w:spacing w:after="40"/>
              <w:jc w:val="center"/>
            </w:pPr>
            <w:r>
              <w:rPr>
                <w:rFonts w:ascii="Microsoft YaHei" w:hAnsi="Microsoft YaHei" w:eastAsia="Microsoft YaHei"/>
                <w:b/>
                <w:color w:val="292B30"/>
                <w:sz w:val="17"/>
              </w:rPr>
              <w:t>2025年东盟吸收全球 FDI</w:t>
            </w:r>
          </w:p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 w:val="0"/>
                <w:color w:val="69717E"/>
                <w:sz w:val="16"/>
              </w:rPr>
              <w:t>同比 +9.7%</w:t>
            </w:r>
          </w:p>
        </w:tc>
      </w:tr>
    </w:tbl>
    <w:p>
      <w:pPr>
        <w:spacing w:after="0"/>
      </w:pPr>
    </w:p>
    <w:p>
      <w:pPr>
        <w:spacing w:before="180" w:after="60"/>
      </w:pPr>
      <w:r>
        <w:rPr>
          <w:rFonts w:ascii="Microsoft YaHei" w:hAnsi="Microsoft YaHei" w:eastAsia="Microsoft YaHei"/>
          <w:b w:val="0"/>
          <w:color w:val="69717E"/>
          <w:sz w:val="17"/>
        </w:rPr>
        <w:t>研究对象  /  中国企业境外直接投资及相关产业项目</w:t>
      </w:r>
    </w:p>
    <w:p>
      <w:r>
        <w:rPr>
          <w:rFonts w:ascii="Microsoft YaHei" w:hAnsi="Microsoft YaHei" w:eastAsia="Microsoft YaHei"/>
          <w:b w:val="0"/>
          <w:color w:val="69717E"/>
          <w:sz w:val="17"/>
        </w:rPr>
        <w:t>数据截点：截至 2026年10月22日 可查的公开资料；2025 年年度 ODI 采用三部门统计公报最终口径，较早发布的初步统计单独标注。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17264C"/>
          <w:sz w:val="34"/>
        </w:rPr>
        <w:t>一  核心判断与投资脉络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中国对东盟投资在2024年达到343.6亿美元，官方统计中的同比增幅为36.8%，新加坡、印度尼西亚、泰国是主要流向地。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2025年东盟吸收全球FDI达2439亿美元，但这是东盟接收全部来源地资本的数字，不等同于中国对东盟投资；当年绿地项目公告金额回落，国家间表现分化。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工厂、区域销售公司、采购中心、控股平台的设立目的不同，应该分别设计资金链、人员链、合同流和实质经营。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阅读提示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本报告把官方 ODI 流量、并购公告、项目投资承诺和企业调查分开使用；公告计划额不等于已投入资本，东道国接收全球 FDI 也不等于中国来源 ODI。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二  规模、结构与数据口径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2024年中国对东盟投资343.6亿美元，创当时历史新高；其中新加坡178.9亿美元、印度尼西亚45.9亿美元、泰国45.6亿美元。2025年东盟总体吸收全球FDI为2439亿美元，增长9.7%；东盟官方投资页面显示，2025年公告绿地投资为1056亿美元、下降10.1%，其中越南、泰国项目金额上升而印尼、马来西亚、新加坡回落。两组数据的投资来源与统计对象不同，不能相加或互相替代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2025年亚洲非金融类ODI同比增长1.2%，但亚洲口径覆盖范围远大于东盟；EY追踪的2025年中国企业亚洲海外并购公告额为157亿美元、同比增长15%。两项指标一个是非金融直接投资流量，一个是公告并购价值，不可合并。东盟2024年中国投资343.6亿美元，需与2025年东盟吸收全球来源FDI分开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2024年区域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官方 ODI 流量（亿美元）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同比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1536.7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+8.5%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拉美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155.6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+15.4%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欧洲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124.9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+25.3%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北美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60.2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-22.6%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非洲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33.7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-14.9%</w:t>
            </w:r>
          </w:p>
        </w:tc>
      </w:tr>
    </w:tbl>
    <w:p>
      <w:pPr>
        <w:spacing w:before="60"/>
      </w:pPr>
      <w:r>
        <w:rPr>
          <w:rFonts w:ascii="Microsoft YaHei" w:hAnsi="Microsoft YaHei" w:eastAsia="Microsoft YaHei"/>
          <w:b w:val="0"/>
          <w:color w:val="69717E"/>
          <w:sz w:val="16"/>
        </w:rPr>
        <w:t>图表口径：2024年度官方地区分项；2025年区域趋势以EY并购公告或商务部初步非金融类同比另列，不替代官方地区流量。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三  市场机会与进入方式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新加坡适合区域总部、融资与资金管理、贸易和服务型实体；投资额占比高也意味着资金可能经过区域控股或结算平台，不能简单视作最终运营落地。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印度尼西亚适合资源加工、汽车与电池价值链、当地消费和基础设施。资源项目需把采矿权、冶炼、环保、物流、劳工与当地伙伴治理放入同一投资模型。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越南在电子、通信、零部件、消费制造等环节持续承接供应链项目；需核对土地、建设许可、环保审查、原产地与出口管制对产品路线的影响。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泰国在汽车、电子与产业园区配套上有较强基础；马来西亚在电子电气、数据中心与绿色能源方面具备承接能力。企业选址宜从客户与供应商半径、港口物流、人才、税务激励和能源可靠性做比较。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市场准入、注册资本与园区政策比较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下表按本地区代表市场比较外资准入、常见实体资本规则与园区/产业政策。对未设统一公司资本下限的市场，行业许可仍可能规定最低资本、持股比例、实缴期限或本地伙伴要求；激励只适用于经批准且满足持续经营、就业/投资等条件的项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国家/地区（共5个）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持股与资本规则（概要）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园区与产业政策（概要）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新加坡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一般公司无高额法定资本门槛，常见股份资本可从 SGD 1 起；金融、支付、通信等另有许可。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适合区域总部、资金与服务平台；优惠通常按具体项目审批。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印度尼西亚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2025年第5号条例：PMA每家公司最低已发行/实缴资本 IDR 25亿；一般项目投资额通常还需超过 IDR 100亿（不含土地/建筑），按每5位KBLI及项目地点核验，行业例外另计。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经济特区可对合格投资提供税收优惠；区分公司资本底线、项目投资额与优惠资格。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泰国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受《外商经营法》限制业务通常每项业务最低资本不少于 THB 300万，外资比例与许可证依业务清单判断。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BOI/EEC可对合格产业提供税务及非税优惠；申请资格和投资额门槛按项目类别核验。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马来西亚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新制造项目外资股权可达100%；服务业依行业许可规则。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柔新经济特区仅限指定旗舰区和合格活动申请优惠；部分高端制造税率可低至5%，期限与投资门槛适用。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越南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一般公司法未设统一的外资最低注册资本；金融、教育、地产等行业可能设法定资本或准入条件。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工业园/经济区有企业所得税、土地租金等政策，但资格与优惠期取决于地点、行业和项目。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四  代表性项目观察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宁德时代子公司普勤时代与印尼国有矿业公司ANTAM、印尼电池公司IBC组成联合体，2025年启动近60亿美元的电池产业链项目，覆盖镍矿和加工、电池材料、电池制造与回收。该项目展示“资源—材料—制造—循环”纵向一体化，也意味着合资治理、许可、环境与分阶段融资风险同步增加。</w:t>
      </w:r>
    </w:p>
    <w:p>
      <w:pPr>
        <w:pStyle w:val="Heading2"/>
        <w:keepNext/>
      </w:pPr>
      <w:r>
        <w:rPr>
          <w:rFonts w:ascii="Microsoft YaHei" w:hAnsi="Microsoft YaHei" w:eastAsia="Microsoft YaHei"/>
          <w:b/>
          <w:color w:val="A86B4F"/>
          <w:sz w:val="24"/>
        </w:rPr>
        <w:t>代表项目观察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以下项目区分股权投资、建设投资、许可合作与项目规划。金额均按企业或政府公开披露口径记录；未披露的明确标记，规划额不代表已投金额。项目状态以来源公布日期为准，重大交易需再核验最新进展。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项目与所在地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投资方与产业环节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公开金额与项目阶段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可核验的投资观察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印度尼西亚｜宁德时代—ANTAM—IBC电池产业链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宁德时代/普勤时代；镍资源、材料、电池及回收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规划近60亿美元；2025年启动建设，属分期推进项目。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实际投入、许可与建设节点需按各子项目分别核验；不把总规划额等同当年ODI。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泰国罗勇｜BYD新能源车工厂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比亚迪；整车制造与区域供应链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BYD披露工厂于2024年投产；初期产能约15万辆/年，公开报道投资约179亿泰铢。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验证产能利用率、本地供应商认证和售后网络；投产不等同达到满产。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马来西亚｜柔佛—新加坡经济特区项目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多个中资与国际企业；电子、数据中心、先进制造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政策框架已建立；具体中资项目投资额按正式批文/公司公告核实。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此项是项目管线而非单一企业已落地项目，投资分析不得把招商意向合计为实际投资。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五  重点合规与执行风险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中国侧：项目核准/备案、商务主管部门和发改部门要求、银行外汇登记、资金来源证明、最终受益人和境外架构一致性。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东道国侧：外资准入和负面清单、行业许可证、土地与园区权属、税务登记、雇佣与工作许可、环境和社区影响评估。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区域贸易：原产地规则、关税优惠资格、反规避调查、出口管制与供应链尽职调查。不能仅通过第三国设立公司就推定产品取得当地原产资格。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运营治理：关联交易、当地董事和授权、印章与网银控制、审计、转让定价、数据跨境与商业秘密保护。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六  投资启示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先按目标客户、供应链、物流、人才、电力/水资源与政策资格设定筛选权重，再在东南亚代表市场中做同口径比较；园区税惠不能抵消低利用率或物流瓶颈。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将市场进入拆成销售/服务实体、区域总部、制造/资源项目和控股平台，分别核算资本需求、许可周期、现金流与退出成本。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采用分阶段承诺：先验证客户订单、许可、土地/厂房、能源和关键供应商，再进入大额固定资产投资；把激励兑现和本地化承诺设为投后监控指标。</w:t>
      </w:r>
    </w:p>
    <w:p>
      <w:pPr>
        <w:pStyle w:val="ListBullet"/>
        <w:spacing w:after="80" w:line="283" w:lineRule="auto"/>
        <w:ind w:left="346" w:hanging="202"/>
      </w:pPr>
      <w:r>
        <w:rPr>
          <w:rFonts w:ascii="Microsoft YaHei" w:hAnsi="Microsoft YaHei" w:eastAsia="Microsoft YaHei"/>
          <w:b w:val="0"/>
          <w:color w:val="292B30"/>
          <w:sz w:val="19"/>
        </w:rPr>
        <w:t>董事会立项时同步批准 ODI 申报路径、股权/债务比例、资本金时间表、境外开户及税务/会计治理，确保批准金额与最终交易、资金流和项目用途相互匹配。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地区专题1  投资路径与项目结构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东南亚不是单一市场，而是由总部与资金平台、制造承接地、资源供给地和终端消费市场组成的互补网络。投资者可先明确项目主要目标：区域总部通常重视税务居民身份、人员与决策实质、资金管理和服务合同；制造项目重视客户距离、关税原产地、供应链和能源；资源项目重视采矿权、加工许可与社区责任。把这些目标放在同一个实体中，可能造成许可、风险隔离和利润归属不匹配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对跨国集团而言，常见架构是区域控股或服务平台与各国运营公司分层。设立前先确认受益所有人、董事权限、资本金与股东贷款比例、跨境服务费及知识产权授权。印尼、泰国等市场的行业准入可能依投资活动和实体分类而变，不能只依据公司注册表上的行业代码判断。合资安排要写清董事席位、保留事项、追加出资、关联采购、僵局解决、退出与许可变更的处理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实体与控制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说明投资主体、最终受益人、当地董事/授权、业务范围和境内 ODI 备案/核准的一致性。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资本与资金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区分法定注册资本、最低实缴、项目资本开支和营运资金；写明股权/股东贷款比例、币种与拨付节点。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合作与退出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约定合资保留事项、追加出资、技术/采购、僵局、许可变更和退出机制。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地区专题2  国家与园区选址方法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先用“客户与供应链—贸易与通关—要素成本—政策可得性—执行能力”五项筛选，而不是先看园区给出的税率。对电子、电池和汽车项目，应对比供应商半径、港口/机场、停电记录、工业用水、危化品管理、工程承包商和技术工人供给；数据中心则要将并网容量、长期电价、冷却水、土地用途和跨境数据要求列为一票否决项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园区激励需要逐层验证：地块是否属于正式指定边界、目标活动是否在鼓励清单、项目最低投资额和新增就业是否满足、优惠申请应在签约或开工前完成哪些程序、税收优惠是否有实质经营和年度申报条件、未达承诺是否追缴。柔新经济特区的优惠强调旗舰区位置和合格活动；泰国BOI/EEC及印尼经济特区也须按各自项目类别审查，不能将园区宣传册的最高优惠直接写入基准情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地块与资格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留存园区边界/地块权属、活动资格、正式批文、申请先后次序及不可逆支出的书面依据。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配套与成本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取得能源、水、物流、通关、环保处理和劳工服务的服务承诺，测算隐性收费和接入周期。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激励与追回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列清投资额/就业/本地化承诺、优惠期限、申报证据、年度报告及不达标追回责任。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地区专题3  资金与运营模型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制造项目建议拆分建设期、试产期和稳态期，分别测算土地/厂房、进口设备、许可、工程、库存、人员培训、营运资金和售后网络。至少建立本币贬值、进口设备延迟、客户订单下滑、原材料涨价、能源涨价和激励未获批六个敏感性情景。将资金回笼和跨境支付约束纳入现金流，而不只比较名义税率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对资源加工与电池价值链项目，收入假设应分别建模矿石/材料价格、品位或回收率、运输与冶炼成本、能源结构、碳成本、回收比例及长期承购协议。合资项目需确定股东分期出资义务和超支机制，避免项目公司因审批延误、基础设施不足或现金流错配而被迫临时借款。应将进口设备、技术服务、关联采购和当地工资凭证纳入投后财务内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收入与成本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用客户合同/承购、销量、利用率、物流、能源、人工和税费建立基准/下行两套模型。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资金与汇率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测算汇率、利率、资本管制、应收账款、库存及利润汇回对现金流的影响，设最低现金储备。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阶段与回报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分期释放资本，以许可、订单、建设、良率/产能利用率为闸门；量化暂停、扩产和退出阈值。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地区专题4  落地闸门与投后监控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第一道闸门是境内 ODI 路径、项目主体与交易结构一致；第二道是目的地准入、股权安排、牌照和土地权利可落实；第三道是园区资格、环境/施工许可、供电供水与物流可用；第四道是客户合同、融资和建设预算通过投委会复核。每道闸门都应有负责方、文件证据和最长完成期限。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投产后重点监控批准投资额与实际出资偏差、当地收入和供应商比例、雇员与培训承诺、库存和临时进口核销、税收优惠条件、关联交易、外币敞口和审计意见。董事会应预设延期、扩产、暂停和退出的触发条件；若优惠政策、原产地规则或行业限制变化，及时重新测算项目回报，并保留政策依赖程度较高的专项风险说明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专题决策清单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建议形成的投委会材料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审批里程碑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列出主管机关、材料、前置条件、责任人、最长周期和未获批时的合同处理。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投后指标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跟踪实际出资、预算偏差、就业/本地供应、税惠履约、许可续期、审计意见和合规事件。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风险预案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对政策变化、供应链中断、项目延期、汇率冲击和客户流失指定触发点、责任人及替代方案。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区域投资流向与市场规模拆解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区域判断优先使用直接投资流量、投资存量和项目/并购公告三类指标。官方区域非金融ODI增速与EY公告并购数据库覆盖不同项目且统计时点不同，不能相加。国家/地区比较只使用本册列出的市场；在缺少一致统计时，明确标注“无同口径公开值”，不以贸易额代替投资额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指标/市场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公开数据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统计范围与阶段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对投资决策的含义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东盟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2024年中资ODI 343.6亿美元；同比+36.8%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官方流量；高集中于新加坡/印尼/泰国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以新加坡平台与运营地分开识别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2025年非金融ODI同比+1.2%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全亚洲，非东盟专属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用国别项目与存量补充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亚洲并购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2025年公告额157亿美元；同比+15%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EY并购公告，可能含未交割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不能等同ODI流量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地区投资结论应以企业层面的订单、资产和项目审批复核：先确认目的地国别和实际运营地点，再检查同一交易是否已在直接投资、并购公告或EPC合同中被重复统计。对于本地市场规模，使用GDP、贸易额、港口吞吐等代理变量时，应明确其只反映需求或通道条件，不是中资投资金额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国家筛选后的投前决策闸门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将市场比较转为投委会可执行的决策条件。下表列出各市场最应先取得的证据；任何关键股权许可、土地/资源权、客户订单或资金回流条件未确认时，应暂缓不可逆资本开支。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国家/地区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适配投资方向</w:t>
            </w:r>
          </w:p>
        </w:tc>
        <w:tc>
          <w:tcPr>
            <w:tcW w:type="dxa" w:w="3331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进入下一阶段前需要的项目证据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新加坡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总部/资金/服务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验证员工和核心决策实质、客户合同、税务居民身份及银行开户；不要仅用注册地址获取协定待遇。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印度尼西亚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资源加工/电池/消费市场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先核实KBLI活动、PMA资本底线、土地/矿权、环评和本地股东要求，再承诺不可逆设备款。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泰国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汽车/电子/区域制造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获得BOI活动分类和优惠书面确认；核算FBA活动、产能、进口料件与本地化门槛。</w:t>
            </w:r>
          </w:p>
        </w:tc>
      </w:tr>
      <w:tr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马来西亚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电子电气/数据中心/制造</w:t>
            </w:r>
          </w:p>
        </w:tc>
        <w:tc>
          <w:tcPr>
            <w:tcW w:type="dxa" w:w="3331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拿到指定园区边界、活动资格、能源并网和税惠批文；将优惠兑现条件进现金流。</w:t>
            </w:r>
          </w:p>
        </w:tc>
      </w:tr>
      <w:tr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越南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电子/零部件/出口制造</w:t>
            </w:r>
          </w:p>
        </w:tc>
        <w:tc>
          <w:tcPr>
            <w:tcW w:type="dxa" w:w="3331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以工业园土地和建设许可、环评、劳工、原产地和出口订单为扩产闸门。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七  建议的 90 天工作顺序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4997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建议动作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1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0—30天：确定业务目标、国家备选、股权与实际控制关系、投资额区间、资金来源及准入问题。</w:t>
            </w:r>
          </w:p>
        </w:tc>
      </w:tr>
      <w:tr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2 阶段</w:t>
            </w:r>
          </w:p>
        </w:tc>
        <w:tc>
          <w:tcPr>
            <w:tcW w:type="dxa" w:w="4997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30—60天：并行完成中国 ODI 申报路径判断与东道国设立可行性核查，形成资金流/货物流/合同流图。</w:t>
            </w:r>
          </w:p>
        </w:tc>
      </w:tr>
      <w:tr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第 3 阶段</w:t>
            </w:r>
          </w:p>
        </w:tc>
        <w:tc>
          <w:tcPr>
            <w:tcW w:type="dxa" w:w="4997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60—90天：注册及开户文件准备、董事授权和账户控制设计；制定设立后 12 个月账务、审计、税务和年报日历。</w:t>
            </w:r>
          </w:p>
        </w:tc>
      </w:tr>
    </w:tbl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研究说明与资料来源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统计口径说明：全行业 ODI 与非金融类 ODI 不能直接互换；人民币和美元同比受汇率及统计修订影响；并购公告金额可能含未交割交易；不同机构数据库对交易对象、宣布时间、完成状态和目的地归属采用不同规则。本报告在相关指标处注明口径，重大投资或法规决策应基于项目事实重新核验。</w:t>
      </w:r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附录  中国对外直接投资长期流量序列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为观察长期趋势，本表采用商务部统计公报发布的2006—2024年年度序列，并补入2025年最终公报数据。单位为亿美元。2006年以前的早期数据统计范围与全行业 ODI 不完全一致，故不与本序列拼接。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年份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流量（亿美元）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211.6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2016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1,961.5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265.1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1,582.9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559.1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2018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1,430.4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2009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565.3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2019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1,369.1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688.1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1,537.1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746.5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2021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1,788.2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878.0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1,631.2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1,078.4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2023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1,772.9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1,231.2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2024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1,922.0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2015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1,456.7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2025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2,135.8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FF2EC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趋势解读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2025年为最终统计公报发布值，2135.8亿美元；它比2024年最终公布值1922.0亿美元高11.1%。不同年度公报可能修订历史分项，跨年分析应以同一版本序列为基础。</w:t>
            </w:r>
          </w:p>
        </w:tc>
      </w:tr>
    </w:tbl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[1] 商务部等《2025年度中国对外直接投资统计公报》  </w:t>
      </w:r>
      <w:hyperlink r:id="rId1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[2] 商务部等《2024年度中国对外直接投资统计公报》  </w:t>
      </w:r>
      <w:hyperlink r:id="rId1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[3] 商务部等《2024年度中国对外直接投资统计公报》附表  </w:t>
      </w:r>
      <w:hyperlink r:id="rId1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[4] ASEAN Invest《ASEAN attracts record FDI in 2025》  </w:t>
      </w:r>
      <w:hyperlink r:id="rId1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[5] ASEAN《ASEAN Investment Report 2025》  </w:t>
      </w:r>
      <w:hyperlink r:id="rId16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[6] 宁德时代：印尼电池产业链项目正式动工  </w:t>
      </w:r>
      <w:hyperlink r:id="rId17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[7] 商务部《2025年我国对外非金融类直接投资简明统计》  </w:t>
      </w:r>
      <w:hyperlink r:id="rId18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[8] 商务部《2025年对外非金融类直接投资行业统计表》  </w:t>
      </w:r>
      <w:hyperlink r:id="rId19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[9] EY《2025年中国海外投资概览》及地区并购数据  </w:t>
      </w:r>
      <w:hyperlink r:id="rId20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[10] BYD：泰国罗勇工厂投产及第800万辆新能源车下线  </w:t>
      </w:r>
      <w:hyperlink r:id="rId21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[11] 印尼投资与下游产业部2025年第5号条例：外资公司资本及投资规则  </w:t>
      </w:r>
      <w:hyperlink r:id="rId22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[12] 马来西亚投资发展局：制造业股权政策  </w:t>
      </w:r>
      <w:hyperlink r:id="rId23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[13] 马来西亚投资发展局：柔新经济特区税务优惠及申请条件  </w:t>
      </w:r>
      <w:hyperlink r:id="rId24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[14] 泰国投资促进委员会：外资企业设立、最低资本及优惠  </w:t>
      </w:r>
      <w:hyperlink r:id="rId25">
        <w:r>
          <w:rPr>
            <w:color w:val="E9562B"/>
            <w:u w:val="single"/>
          </w:rPr>
          <w:t>查看原文</w:t>
        </w:r>
      </w:hyperlink>
    </w:p>
    <w:p>
      <w:pPr>
        <w:spacing w:after="60"/>
        <w:ind w:left="317" w:hanging="317"/>
      </w:pPr>
      <w:r>
        <w:rPr>
          <w:rFonts w:ascii="Microsoft YaHei" w:hAnsi="Microsoft YaHei" w:eastAsia="Microsoft YaHei"/>
          <w:b w:val="0"/>
          <w:color w:val="292B30"/>
          <w:sz w:val="17"/>
        </w:rPr>
        <w:t xml:space="preserve">[15] 商务部等《2024年度中国对外直接投资统计公报》历史流量图表  </w:t>
      </w:r>
      <w:hyperlink r:id="rId26">
        <w:r>
          <w:rPr>
            <w:color w:val="E9562B"/>
            <w:u w:val="single"/>
          </w:rPr>
          <w:t>查看原文</w:t>
        </w:r>
      </w:hyperlink>
    </w:p>
    <w:p>
      <w:pPr>
        <w:pStyle w:val="Heading1"/>
        <w:keepNext/>
      </w:pPr>
      <w:r>
        <w:rPr>
          <w:rFonts w:ascii="Microsoft YaHei" w:hAnsi="Microsoft YaHei" w:eastAsia="Microsoft YaHei"/>
          <w:b/>
          <w:color w:val="17264C"/>
          <w:sz w:val="34"/>
        </w:rPr>
        <w:t>投资委员会初筛评分卡</w:t>
      </w:r>
    </w:p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建议项目组在国家/地区初筛后，由业务、财务、法务合规和运营共同评分。权重和阈值是本报告提供的讨论模板，可按企业风险偏好调整；它们不是东道国法定标准，也不能替代尽职调查。每项按1—5分评分，5分代表证据充分且风险可控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评分维度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权重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评分依据</w:t>
            </w:r>
          </w:p>
        </w:tc>
        <w:tc>
          <w:tcPr>
            <w:tcW w:type="dxa" w:w="2498"/>
            <w:shd w:fill="17264C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项目评分（1—5）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市场需求与客户覆盖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订单/客户访谈、市场规模、竞品和收入币种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准入与许可可执行性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外资股比、资本/实缴、行业许可和审批周期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园区与激励可获得性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地块资格、活动清单、正式批文与履约条件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供应链与生产要素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15%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供应商、能源、水、物流、人才和基础设施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风险调整后回报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基准/下行情景、资本成本、汇率及回收期</w:t>
            </w:r>
          </w:p>
        </w:tc>
        <w:tc>
          <w:tcPr>
            <w:tcW w:type="dxa" w:w="249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  <w:tr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治理、韧性与退出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20%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伙伴治理、资金回流、审计、停产/退出方案</w:t>
            </w:r>
          </w:p>
        </w:tc>
        <w:tc>
          <w:tcPr>
            <w:tcW w:type="dxa" w:w="2498"/>
            <w:shd w:fill="F3F5F8"/>
            <w:vAlign w:val="center"/>
            <w:tcMar>
              <w:top w:w="95" w:type="dxa"/>
              <w:start w:w="100" w:type="dxa"/>
              <w:bottom w:w="95" w:type="dxa"/>
              <w:end w:w="100" w:type="dxa"/>
            </w:tcMar>
          </w:tcPr>
          <w:p>
            <w:pPr>
              <w:spacing w:after="0" w:before="0"/>
            </w:pPr>
            <w:r/>
            <w:r>
              <w:rPr>
                <w:rFonts w:ascii="Microsoft YaHei" w:hAnsi="Microsoft YaHei" w:eastAsia="Microsoft YaHei"/>
                <w:b w:val="0"/>
                <w:color w:val="292B30"/>
                <w:sz w:val="17"/>
              </w:rPr>
              <w:t>____</w:t>
            </w:r>
          </w:p>
        </w:tc>
      </w:tr>
    </w:tbl>
    <w:p>
      <w:pPr>
        <w:spacing w:after="140" w:line="307" w:lineRule="auto"/>
        <w:ind w:firstLine="403"/>
      </w:pPr>
      <w:r>
        <w:rPr>
          <w:rFonts w:ascii="Microsoft YaHei" w:hAnsi="Microsoft YaHei" w:eastAsia="Microsoft YaHei"/>
          <w:b w:val="0"/>
          <w:color w:val="292B30"/>
          <w:sz w:val="20"/>
        </w:rPr>
        <w:t>计算建议：加权得分＝Σ（单项评分×权重）÷5。可将低于60分设为暂缓，60—75分进入补充尽调，高于75分提交正式立项审议；若外资准入、关键许可、土地权属或资金来源存在未解决的否决性问题，不因总分较高而跳过先决条件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94"/>
      </w:tblGrid>
      <w:tr>
        <w:tc>
          <w:tcPr>
            <w:tcW w:type="dxa" w:w="9994"/>
            <w:shd w:fill="F3F5F8"/>
            <w:tcMar>
              <w:top w:w="160" w:type="dxa"/>
              <w:start w:w="200" w:type="dxa"/>
              <w:bottom w:w="160" w:type="dxa"/>
              <w:end w:w="200" w:type="dxa"/>
            </w:tcMar>
          </w:tcPr>
          <w:p>
            <w:pPr>
              <w:spacing w:after="60"/>
            </w:pPr>
            <w:r/>
            <w:r>
              <w:rPr>
                <w:rFonts w:ascii="Microsoft YaHei" w:hAnsi="Microsoft YaHei" w:eastAsia="Microsoft YaHei"/>
                <w:b/>
                <w:color w:val="E9562B"/>
                <w:sz w:val="18"/>
              </w:rPr>
              <w:t>投资决策使用提示</w:t>
            </w:r>
          </w:p>
          <w:p>
            <w:pPr>
              <w:spacing w:after="0" w:line="288" w:lineRule="auto"/>
            </w:pPr>
            <w:r>
              <w:rPr>
                <w:rFonts w:ascii="Microsoft YaHei" w:hAnsi="Microsoft YaHei" w:eastAsia="Microsoft YaHei"/>
                <w:b w:val="0"/>
                <w:color w:val="292B30"/>
                <w:sz w:val="20"/>
              </w:rPr>
              <w:t>本报告用于形成市场初筛和尽调议题清单，不构成法律、税务、审计或投资建议。涉及持股比例、最低资本、实缴期限、园区激励和行业许可的具体项目，应以投资地主管机关最新正式规则及书面批准为准。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46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Microsoft YaHei" w:hAnsi="Microsoft YaHei" w:eastAsia="Microsoft YaHei"/>
        <w:b w:val="0"/>
        <w:color w:val="69717E"/>
        <w:sz w:val="16"/>
      </w:rPr>
      <w:t xml:space="preserve">上海乾桥禾融企业咨询有限公司  ·  2026年10月22日  ·  </w:t>
    </w:r>
    <w:r>
      <w:rPr>
        <w:rFonts w:ascii="Microsoft YaHei" w:hAnsi="Microsoft YaHei" w:eastAsia="Microsoft YaHei"/>
        <w:b w:val="0"/>
        <w:color w:val="69717E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Microsoft YaHei" w:hAnsi="Microsoft YaHei" w:eastAsia="Microsoft YaHei"/>
        <w:b/>
        <w:color w:val="17264C"/>
        <w:sz w:val="16"/>
      </w:rPr>
      <w:t>乾桥禾融  |  企业出海研究系列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Microsoft YaHei" w:hAnsi="Microsoft YaHei" w:eastAsia="Microsoft YaHei"/>
      <w:color w:val="292B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264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A86B4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E9562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mofcom.gov.cn/zfxxgk/gkml/art/2026/art_5135ff712b8f4bdc804374d2d29ff9f0.html" TargetMode="External"/><Relationship Id="rId13" Type="http://schemas.openxmlformats.org/officeDocument/2006/relationships/hyperlink" Target="https://www.gov.cn/lianbo/bumen/202509/P020250908508134967854.pdf" TargetMode="External"/><Relationship Id="rId14" Type="http://schemas.openxmlformats.org/officeDocument/2006/relationships/hyperlink" Target="https://images.mofcom.gov.cn/fec/202509/20250908141021122.pdf" TargetMode="External"/><Relationship Id="rId15" Type="http://schemas.openxmlformats.org/officeDocument/2006/relationships/hyperlink" Target="https://investasean.asean.org/asean-attracts-record-fdi-in-2025-amid-a-shifting-global-investment-landscape/" TargetMode="External"/><Relationship Id="rId16" Type="http://schemas.openxmlformats.org/officeDocument/2006/relationships/hyperlink" Target="https://investmentpolicy.unctad.org/publications/1314/asean-investment-report-2025" TargetMode="External"/><Relationship Id="rId17" Type="http://schemas.openxmlformats.org/officeDocument/2006/relationships/hyperlink" Target="https://www.catl.com/news/8584.html" TargetMode="External"/><Relationship Id="rId18" Type="http://schemas.openxmlformats.org/officeDocument/2006/relationships/hyperlink" Target="https://www.mofcom.gov.cn/zfxxgk/fdzdgknr/ztfl/tjsj/gwjjhztj/art/2026/art_708927a77336454da43ef9b9af84e06f.html" TargetMode="External"/><Relationship Id="rId19" Type="http://schemas.openxmlformats.org/officeDocument/2006/relationships/hyperlink" Target="https://fec.mofcom.gov.cn/article/zyfw/hybg/qtbg/202602/3959.html" TargetMode="External"/><Relationship Id="rId20" Type="http://schemas.openxmlformats.org/officeDocument/2006/relationships/hyperlink" Target="https://www.ey.com/zh_cn/newsroom/2026/02/ey-releases-the-overview-of-china-outbound-investment-of-2025" TargetMode="External"/><Relationship Id="rId21" Type="http://schemas.openxmlformats.org/officeDocument/2006/relationships/hyperlink" Target="https://www.byd.com/us/news-list/BYD-Thailand-Factory-Inauguration-and-Roll-off-of-Its-8-Millionth-New-Energy-Vehicle.html" TargetMode="External"/><Relationship Id="rId22" Type="http://schemas.openxmlformats.org/officeDocument/2006/relationships/hyperlink" Target="https://jdih-storage.bkpm.go.id/jdih/jdih/2025Permeninvest005Eng-.pdf" TargetMode="External"/><Relationship Id="rId23" Type="http://schemas.openxmlformats.org/officeDocument/2006/relationships/hyperlink" Target="https://www.mida.gov.my/setting-up-content/equity-policy-protect-foreign-investment/" TargetMode="External"/><Relationship Id="rId24" Type="http://schemas.openxmlformats.org/officeDocument/2006/relationships/hyperlink" Target="https://www.mida.gov.my/forms-and-guidelines/js-sez-tax-incentive-package/" TargetMode="External"/><Relationship Id="rId25" Type="http://schemas.openxmlformats.org/officeDocument/2006/relationships/hyperlink" Target="https://www.boi.go.th/index.php?page=setting_up_a_business" TargetMode="External"/><Relationship Id="rId26" Type="http://schemas.openxmlformats.org/officeDocument/2006/relationships/hyperlink" Target="https://www.mofcom.gov.cn/cms_files/filemanager/1077459795/attach/20255/b62b8a78eadd4f92898d27286fd5209b.pdf?fileName=2024%E5%B9%B4%E4%B8%AD%E5%9B%BD%E5%AF%B9%E5%A4%96%E7%9B%B4%E6%8E%A5%E6%8A%95%E8%B5%84%E7%BB%9F%E8%AE%A1%E5%85%AC%E6%8A%A5-%E4%B8%AD%E6%96%87%E9%83%A8%E5%88%8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中国企业东南亚投资白皮书</dc:title>
  <dc:subject>中国企业海外直接投资与经营布局</dc:subject>
  <dc:creator>上海乾桥禾融企业咨询有限公司</dc:creator>
  <cp:keywords>ODI, 出海, 境外投资, 乾桥禾融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